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D49777" w14:textId="0DFDC905" w:rsidR="003E6B29" w:rsidRDefault="00FC578A">
      <w:pPr>
        <w:pStyle w:val="Title"/>
      </w:pPr>
      <w:r>
        <w:t xml:space="preserve">Help Your Students </w:t>
      </w:r>
      <w:r w:rsidR="00F80907">
        <w:t xml:space="preserve">Sound like </w:t>
      </w:r>
      <w:r w:rsidR="00F01562">
        <w:t>Native</w:t>
      </w:r>
      <w:r>
        <w:t>s</w:t>
      </w:r>
    </w:p>
    <w:p w14:paraId="7CD85721" w14:textId="6DBC2C7A" w:rsidR="001C52E9" w:rsidRPr="001C52E9" w:rsidRDefault="001C52E9" w:rsidP="001C52E9">
      <w:r>
        <w:t xml:space="preserve">Paris Granville with </w:t>
      </w:r>
      <w:r w:rsidR="00EE7F46">
        <w:t>Ed Wang</w:t>
      </w:r>
      <w:r w:rsidR="002F6BFC">
        <w:t xml:space="preserve"> and Ernesto Sanchez</w:t>
      </w:r>
    </w:p>
    <w:p w14:paraId="5ED49778" w14:textId="208A93DA" w:rsidR="00FC7653" w:rsidRDefault="00FC7653" w:rsidP="00FC7653">
      <w:pPr>
        <w:pStyle w:val="Heading2"/>
      </w:pPr>
      <w:r>
        <w:t>Eq</w:t>
      </w:r>
      <w:r w:rsidR="00D303DC">
        <w:t>uip Students with the Language T</w:t>
      </w:r>
      <w:r>
        <w:t>hey Want</w:t>
      </w:r>
    </w:p>
    <w:p w14:paraId="7C570B32" w14:textId="17E80188" w:rsidR="000E2F56" w:rsidRDefault="00FC7653" w:rsidP="00FC7653">
      <w:r>
        <w:t xml:space="preserve">Often when the class discussion breaks down into English, it is because students are exited or astonished. Despite their best intentions, your lesson was so exciting that they cry out “YAAAAASSSSSSS!” Communication broke down under the sheer weight of student enthusiasm. Other times, students would like to disagree – politely. But, even the </w:t>
      </w:r>
      <w:r w:rsidR="009E3939">
        <w:t>politest</w:t>
      </w:r>
      <w:r>
        <w:t xml:space="preserve"> students may blurt out, “What the?” when confused.</w:t>
      </w:r>
      <w:r w:rsidR="006814EC">
        <w:t xml:space="preserve"> When </w:t>
      </w:r>
      <w:r w:rsidR="00C41D38">
        <w:t>released into the wild, their lan</w:t>
      </w:r>
      <w:r w:rsidR="000E2F56">
        <w:t xml:space="preserve">guage will degrade even further; sometimes resulting in a complete </w:t>
      </w:r>
      <w:r w:rsidR="002203ED">
        <w:t>breakdown</w:t>
      </w:r>
      <w:r w:rsidR="001F346E">
        <w:t>.</w:t>
      </w:r>
    </w:p>
    <w:p w14:paraId="29951AA3" w14:textId="457F9424" w:rsidR="002203ED" w:rsidRDefault="002203ED" w:rsidP="00FC7653">
      <w:r>
        <w:rPr>
          <w:noProof/>
          <w:lang w:eastAsia="en-US"/>
        </w:rPr>
        <w:drawing>
          <wp:inline distT="0" distB="0" distL="0" distR="0" wp14:anchorId="4A630132" wp14:editId="373A355A">
            <wp:extent cx="6858000" cy="3867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ass2bwBubbles.png"/>
                    <pic:cNvPicPr/>
                  </pic:nvPicPr>
                  <pic:blipFill>
                    <a:blip r:embed="rId9">
                      <a:extLst>
                        <a:ext uri="{28A0092B-C50C-407E-A947-70E740481C1C}">
                          <a14:useLocalDpi xmlns:a14="http://schemas.microsoft.com/office/drawing/2010/main" val="0"/>
                        </a:ext>
                      </a:extLst>
                    </a:blip>
                    <a:stretch>
                      <a:fillRect/>
                    </a:stretch>
                  </pic:blipFill>
                  <pic:spPr>
                    <a:xfrm>
                      <a:off x="0" y="0"/>
                      <a:ext cx="6858000" cy="3867785"/>
                    </a:xfrm>
                    <a:prstGeom prst="rect">
                      <a:avLst/>
                    </a:prstGeom>
                  </pic:spPr>
                </pic:pic>
              </a:graphicData>
            </a:graphic>
          </wp:inline>
        </w:drawing>
      </w:r>
    </w:p>
    <w:p w14:paraId="2F40C168" w14:textId="7DA00B44" w:rsidR="00B81F84" w:rsidRDefault="00707F18" w:rsidP="00FC7653">
      <w:r>
        <w:t>When Novice Learners</w:t>
      </w:r>
      <w:r w:rsidR="008720D8">
        <w:t xml:space="preserve"> </w:t>
      </w:r>
      <w:r w:rsidR="00E33CC9">
        <w:t xml:space="preserve">are </w:t>
      </w:r>
      <w:r w:rsidR="007C235E">
        <w:t>equipped with a few carefully-chosen interjections</w:t>
      </w:r>
      <w:r w:rsidR="00D50880">
        <w:t>, they can begin to sound more natural.</w:t>
      </w:r>
      <w:r w:rsidR="008D426F">
        <w:t xml:space="preserve"> </w:t>
      </w:r>
      <w:r w:rsidR="00C22220">
        <w:t>Each language and culture suggests authentic reactions t</w:t>
      </w:r>
      <w:r w:rsidR="006459D9">
        <w:t xml:space="preserve">hat begin to reveal their </w:t>
      </w:r>
      <w:r w:rsidR="00CC2B73">
        <w:t>perspectives</w:t>
      </w:r>
      <w:r w:rsidR="00176675">
        <w:t xml:space="preserve">. </w:t>
      </w:r>
      <w:r w:rsidR="00B81F84">
        <w:t>Each</w:t>
      </w:r>
      <w:r w:rsidR="00176675">
        <w:t xml:space="preserve"> Native Speakers</w:t>
      </w:r>
      <w:r w:rsidR="00B81F84">
        <w:t xml:space="preserve"> tend to</w:t>
      </w:r>
      <w:r w:rsidR="00176675">
        <w:t xml:space="preserve"> favor certain </w:t>
      </w:r>
      <w:r w:rsidR="007012CF">
        <w:t>expressions when reacting to new information</w:t>
      </w:r>
      <w:r w:rsidR="00B81F84">
        <w:t xml:space="preserve"> due to the short reaction time</w:t>
      </w:r>
      <w:r w:rsidR="007012CF">
        <w:t>.</w:t>
      </w:r>
      <w:r w:rsidR="00B81F84">
        <w:t xml:space="preserve"> Sometimes the most appropriate expression is vague to language learners, yet crystal clear to native Speakers. </w:t>
      </w:r>
      <w:r w:rsidR="007012CF">
        <w:t xml:space="preserve"> </w:t>
      </w:r>
      <w:r w:rsidR="00B81F84">
        <w:t xml:space="preserve">But the </w:t>
      </w:r>
      <w:r w:rsidR="00CC2B73">
        <w:t>ambigu</w:t>
      </w:r>
      <w:r w:rsidR="005A00FB">
        <w:t>it</w:t>
      </w:r>
      <w:r w:rsidR="006139D7">
        <w:t xml:space="preserve">y that make </w:t>
      </w:r>
      <w:r w:rsidR="0066200F">
        <w:t xml:space="preserve">certain turns of phrase </w:t>
      </w:r>
      <w:r w:rsidR="006139D7">
        <w:t xml:space="preserve">difficult for language learners also </w:t>
      </w:r>
      <w:r w:rsidR="0066200F">
        <w:t>make them useful in a wide range of situations.</w:t>
      </w:r>
    </w:p>
    <w:p w14:paraId="0D35BCAB" w14:textId="6BBC0F8A" w:rsidR="001F346E" w:rsidRDefault="0066200F" w:rsidP="00B81F84">
      <w:pPr>
        <w:pStyle w:val="Heading2"/>
      </w:pPr>
      <w:r>
        <w:t xml:space="preserve"> </w:t>
      </w:r>
      <w:r w:rsidR="00B81F84">
        <w:t xml:space="preserve">“It is what it is” </w:t>
      </w:r>
    </w:p>
    <w:p w14:paraId="685E50B5" w14:textId="327CE8D3" w:rsidR="00A50602" w:rsidRDefault="002D15CB" w:rsidP="00FC7653">
      <w:r>
        <w:t xml:space="preserve">Since </w:t>
      </w:r>
      <w:r w:rsidR="00CB3A2C">
        <w:t>this</w:t>
      </w:r>
      <w:r w:rsidR="008448AB">
        <w:t xml:space="preserve"> tautology </w:t>
      </w:r>
      <w:r w:rsidR="008448AB">
        <w:fldChar w:fldCharType="begin" w:fldLock="1"/>
      </w:r>
      <w:r w:rsidR="00AD3C07">
        <w:instrText>ADDIN CSL_CITATION { "citationItems" : [ { "id" : "ITEM-1", "itemData" : { "URL" : "http://thoughtcatalog.com/laura-jayne-martin/2013/06/it-is-what-it-is/", "accessed" : { "date-parts" : [ [ "2015", "6", "29" ] ] }, "author" : [ { "dropping-particle" : "", "family" : "Martin", "given" : "Laura Jayne", "non-dropping-particle" : "", "parse-names" : false, "suffix" : "" } ], "container-title" : "Thought Catalog", "id" : "ITEM-1", "issued" : { "date-parts" : [ [ "2013" ] ] }, "title" : "It Is What It Is | Thought Catalog", "type" : "webpage" }, "uris" : [ "http://www.mendeley.com/documents/?uuid=175bca30-3cfb-45ba-8ccb-e48084e63bb5" ] } ], "mendeley" : { "formattedCitation" : "(Martin, 2013)", "plainTextFormattedCitation" : "(Martin, 2013)", "previouslyFormattedCitation" : "(Martin, 2013)" }, "properties" : { "noteIndex" : 0 }, "schema" : "https://github.com/citation-style-language/schema/raw/master/csl-citation.json" }</w:instrText>
      </w:r>
      <w:r w:rsidR="008448AB">
        <w:fldChar w:fldCharType="separate"/>
      </w:r>
      <w:r w:rsidR="008448AB" w:rsidRPr="008448AB">
        <w:rPr>
          <w:noProof/>
        </w:rPr>
        <w:t>(Martin, 2013)</w:t>
      </w:r>
      <w:r w:rsidR="008448AB">
        <w:fldChar w:fldCharType="end"/>
      </w:r>
      <w:r w:rsidR="002E3C4D">
        <w:t xml:space="preserve"> </w:t>
      </w:r>
      <w:r>
        <w:t>i</w:t>
      </w:r>
      <w:r w:rsidR="00CB3A2C">
        <w:t>s always true, language learners can use the expression “It is what it is”</w:t>
      </w:r>
      <w:r w:rsidR="00757038">
        <w:t xml:space="preserve"> with imprecision. However, language learners </w:t>
      </w:r>
      <w:r w:rsidR="00CB3A2C">
        <w:t>who use this expression will immediately increase his perceived language ability</w:t>
      </w:r>
      <w:r w:rsidR="00757038">
        <w:t xml:space="preserve"> despite their accent</w:t>
      </w:r>
      <w:r w:rsidR="00CB3A2C">
        <w:t>. Th</w:t>
      </w:r>
      <w:r w:rsidR="00757038">
        <w:t>is</w:t>
      </w:r>
      <w:r w:rsidR="00CB3A2C">
        <w:t xml:space="preserve"> </w:t>
      </w:r>
      <w:r w:rsidR="00AD3C07">
        <w:t>polyvalent</w:t>
      </w:r>
      <w:r w:rsidR="00CB3A2C">
        <w:t xml:space="preserve"> expression</w:t>
      </w:r>
      <w:r w:rsidR="00AD3C07">
        <w:t xml:space="preserve"> </w:t>
      </w:r>
      <w:r w:rsidR="00AD3C07">
        <w:fldChar w:fldCharType="begin" w:fldLock="1"/>
      </w:r>
      <w:r w:rsidR="00A30EB8">
        <w:instrText>ADDIN CSL_CITATION { "citationItems" : [ { "id" : "ITEM-1", "itemData" : { "URL" : "http://prawfsblawg.blogs.com/prawfsblawg/2009/05/as-ive-begun-to-go-to-conferences-and-learn-what-legal-academic-life-is-all-about-ive-come-also-to-appreciatesome-of-the-man.html", "accessed" : { "date-parts" : [ [ "2015", "6", "29" ] ] }, "author" : [ { "dropping-particle" : "", "family" : "DeGirolami", "given" : "Marc", "non-dropping-particle" : "", "parse-names" : false, "suffix" : "" } ], "container-title" : "PrawfsBlawg", "id" : "ITEM-1", "issued" : { "date-parts" : [ [ "2009" ] ] }, "title" : "PrawfsBlawg: \"It is what it is\": Anatomy of an idiom", "type" : "webpage" }, "uris" : [ "http://www.mendeley.com/documents/?uuid=5718aa9f-d21f-4c7d-aef3-446fcb2735c1" ] } ], "mendeley" : { "formattedCitation" : "(DeGirolami, 2009)", "plainTextFormattedCitation" : "(DeGirolami, 2009)", "previouslyFormattedCitation" : "(DeGirolami, 2009)" }, "properties" : { "noteIndex" : 0 }, "schema" : "https://github.com/citation-style-language/schema/raw/master/csl-citation.json" }</w:instrText>
      </w:r>
      <w:r w:rsidR="00AD3C07">
        <w:fldChar w:fldCharType="separate"/>
      </w:r>
      <w:r w:rsidR="00AD3C07" w:rsidRPr="00AD3C07">
        <w:rPr>
          <w:noProof/>
        </w:rPr>
        <w:t>(DeGirolami, 2009)</w:t>
      </w:r>
      <w:r w:rsidR="00AD3C07">
        <w:fldChar w:fldCharType="end"/>
      </w:r>
      <w:r w:rsidR="00CB3A2C">
        <w:t xml:space="preserve"> allow the listener to interpret it in the most appropriate way. </w:t>
      </w:r>
    </w:p>
    <w:p w14:paraId="30B3A931" w14:textId="2FA1FD58" w:rsidR="00A50602" w:rsidRDefault="00A50602" w:rsidP="00A50602">
      <w:pPr>
        <w:pStyle w:val="ListParagraph"/>
        <w:numPr>
          <w:ilvl w:val="0"/>
          <w:numId w:val="4"/>
        </w:numPr>
      </w:pPr>
      <w:r>
        <w:t>To shut down the topic of conversation – there is nothing more to be said</w:t>
      </w:r>
    </w:p>
    <w:p w14:paraId="0D03D3DD" w14:textId="56F93101" w:rsidR="00A50602" w:rsidRDefault="00A50602" w:rsidP="00A50602">
      <w:pPr>
        <w:pStyle w:val="ListParagraph"/>
        <w:numPr>
          <w:ilvl w:val="0"/>
          <w:numId w:val="4"/>
        </w:numPr>
      </w:pPr>
      <w:r>
        <w:t>To show that you are a realist – you are not going to get stuck on something you can’t change</w:t>
      </w:r>
    </w:p>
    <w:p w14:paraId="08FC6D49" w14:textId="711F8E98" w:rsidR="00A50602" w:rsidRDefault="00A50602" w:rsidP="00A50602">
      <w:pPr>
        <w:pStyle w:val="ListParagraph"/>
        <w:numPr>
          <w:ilvl w:val="0"/>
          <w:numId w:val="4"/>
        </w:numPr>
      </w:pPr>
      <w:r>
        <w:t>To always keep moving forward – there is no use pontificating on something that is immutable</w:t>
      </w:r>
    </w:p>
    <w:p w14:paraId="45D5B867" w14:textId="61EA568C" w:rsidR="006139D7" w:rsidRDefault="00AD3C07" w:rsidP="00FC7653">
      <w:r>
        <w:t>When wielded with precision, a</w:t>
      </w:r>
      <w:r w:rsidR="00CB3A2C">
        <w:t>mbiguity becomes subtly.</w:t>
      </w:r>
      <w:r w:rsidR="006E6162">
        <w:t xml:space="preserve"> The multiple meanings of this </w:t>
      </w:r>
      <w:r w:rsidR="00A50602">
        <w:t>practice</w:t>
      </w:r>
      <w:r w:rsidR="006E6162">
        <w:t xml:space="preserve"> uncover a</w:t>
      </w:r>
      <w:r w:rsidR="00A50602">
        <w:t xml:space="preserve">n American perspective </w:t>
      </w:r>
      <w:r w:rsidR="00A50602">
        <w:fldChar w:fldCharType="begin" w:fldLock="1"/>
      </w:r>
      <w:r w:rsidR="009710DF">
        <w:instrText>ADDIN CSL_CITATION { "citationItems" : [ { "id" : "ITEM-1", "itemData" : { "author" : [ { "dropping-particle" : "", "family" : "Actfl", "given" : "", "non-dropping-particle" : "", "parse-names" : false, "suffix" : "" } ], "id" : "ITEM-1", "issued" : { "date-parts" : [ [ "2014" ] ] }, "page" : "2", "title" : "World-Readiness Standards for Learning Languages World-Readiness Standards for Learning Languages", "type" : "article-journal" }, "uris" : [ "http://www.mendeley.com/documents/?uuid=60ed78ae-35b3-40ba-aaf5-0f00c60a22ec" ] } ], "mendeley" : { "formattedCitation" : "(Actfl, 2014)", "plainTextFormattedCitation" : "(Actfl, 2014)", "previouslyFormattedCitation" : "(Actfl, 2014)" }, "properties" : { "noteIndex" : 0 }, "schema" : "https://github.com/citation-style-language/schema/raw/master/csl-citation.json" }</w:instrText>
      </w:r>
      <w:r w:rsidR="00A50602">
        <w:fldChar w:fldCharType="separate"/>
      </w:r>
      <w:r w:rsidR="00A50602" w:rsidRPr="00A50602">
        <w:rPr>
          <w:noProof/>
        </w:rPr>
        <w:t>(Actfl, 2014)</w:t>
      </w:r>
      <w:r w:rsidR="00A50602">
        <w:fldChar w:fldCharType="end"/>
      </w:r>
      <w:r w:rsidR="00A50602">
        <w:t xml:space="preserve"> to always look toward the future with little regard for the past that grows from the expression, “What is done is done.”</w:t>
      </w:r>
      <w:r w:rsidR="00F01562">
        <w:t xml:space="preserve"> The American desire for constant progress has led to our greatest innovations and our greatest excesses.</w:t>
      </w:r>
    </w:p>
    <w:p w14:paraId="5ED4977A" w14:textId="51177CBE" w:rsidR="00FC7653" w:rsidRDefault="00F21027" w:rsidP="00FC7653">
      <w:pPr>
        <w:pStyle w:val="Heading2"/>
      </w:pPr>
      <w:r>
        <w:t>Language to Be Themselves</w:t>
      </w:r>
    </w:p>
    <w:p w14:paraId="08341508" w14:textId="614C9AD8" w:rsidR="00F21027" w:rsidRDefault="00A30EB8" w:rsidP="00F21027">
      <w:r>
        <w:t xml:space="preserve">Students use expressions in their first language to shore up their identity </w:t>
      </w:r>
      <w:r>
        <w:fldChar w:fldCharType="begin" w:fldLock="1"/>
      </w:r>
      <w:r w:rsidR="00145CE5">
        <w:instrText>ADDIN CSL_CITATION { "citationItems" : [ { "id" : "ITEM-1", "itemData" : { "URL" : "http://www.academia.edu/200226/Language_and_social_identity_a_psychosocial_approach", "accessed" : { "date-parts" : [ [ "2015", "6", "29" ] ] }, "author" : [ { "dropping-particle" : "", "family" : "Jaspal", "given" : "Rusi", "non-dropping-particle" : "", "parse-names" : false, "suffix" : "" } ], "container-title" : "Psych-Talk", "id" : "ITEM-1", "issued" : { "date-parts" : [ [ "2009" ] ] }, "page" : "17-20", "title" : "Language and social identity: a psychosocial approach | Rusi Jaspal - Academia.edu", "type" : "webpage" }, "uris" : [ "http://www.mendeley.com/documents/?uuid=aeaacc8e-1da3-4436-897d-19833168c1a7" ] } ], "mendeley" : { "formattedCitation" : "(Jaspal, 2009)", "plainTextFormattedCitation" : "(Jaspal, 2009)", "previouslyFormattedCitation" : "(Jaspal, 2009)" }, "properties" : { "noteIndex" : 0 }, "schema" : "https://github.com/citation-style-language/schema/raw/master/csl-citation.json" }</w:instrText>
      </w:r>
      <w:r>
        <w:fldChar w:fldCharType="separate"/>
      </w:r>
      <w:r w:rsidRPr="00A30EB8">
        <w:rPr>
          <w:noProof/>
        </w:rPr>
        <w:t>(Jaspal, 2009)</w:t>
      </w:r>
      <w:r>
        <w:fldChar w:fldCharType="end"/>
      </w:r>
      <w:r>
        <w:t>.</w:t>
      </w:r>
      <w:r w:rsidR="00F01562">
        <w:t xml:space="preserve"> They reveal their allegiances, beliefs and perspectives. </w:t>
      </w:r>
      <w:r>
        <w:t>When students begin to learn a world language they must fit their identity into a few memorized chunks of language. Their true personalities bubble underneath the “</w:t>
      </w:r>
      <w:r w:rsidRPr="00A30EB8">
        <w:rPr>
          <w:i/>
        </w:rPr>
        <w:t>estoy bien</w:t>
      </w:r>
      <w:r>
        <w:t xml:space="preserve">.” </w:t>
      </w:r>
      <w:r w:rsidR="00F01562">
        <w:t xml:space="preserve">Even in a second language, </w:t>
      </w:r>
      <w:r w:rsidR="00145CE5">
        <w:t>Americans</w:t>
      </w:r>
      <w:r>
        <w:t xml:space="preserve"> tend to express themselves with words on the extremes of emotion. </w:t>
      </w:r>
      <w:r w:rsidR="00145CE5">
        <w:t>When translated directly into another language they</w:t>
      </w:r>
      <w:r w:rsidR="00145CE5" w:rsidRPr="00145CE5">
        <w:t xml:space="preserve"> </w:t>
      </w:r>
      <w:r w:rsidR="00145CE5">
        <w:t xml:space="preserve">can appear irrationally exuberant and unrelentingly optimistic to many cultures. A few strategic </w:t>
      </w:r>
      <w:r w:rsidR="00757038">
        <w:t>interjections and reaction w</w:t>
      </w:r>
      <w:r w:rsidR="00145CE5">
        <w:t xml:space="preserve">ords can help the students express their personality </w:t>
      </w:r>
      <w:r w:rsidR="00F01562">
        <w:t xml:space="preserve">in a way </w:t>
      </w:r>
      <w:r w:rsidR="00145CE5">
        <w:t xml:space="preserve">a native speaker </w:t>
      </w:r>
      <w:r w:rsidR="00F01562">
        <w:t>ca</w:t>
      </w:r>
      <w:r w:rsidR="00145CE5">
        <w:t xml:space="preserve">n grock </w:t>
      </w:r>
      <w:r w:rsidR="00145CE5">
        <w:fldChar w:fldCharType="begin" w:fldLock="1"/>
      </w:r>
      <w:r w:rsidR="00A50602">
        <w:instrText>ADDIN CSL_CITATION { "citationItems" : [ { "id" : "ITEM-1", "itemData" : { "URL" : "http://www.urbandictionary.com/define.php?term=grock", "accessed" : { "date-parts" : [ [ "2015", "6", "29" ] ] }, "container-title" : "Urban Dictionary", "id" : "ITEM-1", "issued" : { "date-parts" : [ [ "2003" ] ] }, "title" : "Urban Dictionary: grock", "type" : "webpage" }, "uris" : [ "http://www.mendeley.com/documents/?uuid=a7aa775f-f901-4870-8e35-4bc9f5022c23" ] } ], "mendeley" : { "formattedCitation" : "(\u201cUrban Dictionary: grock,\u201d 2003)", "plainTextFormattedCitation" : "(\u201cUrban Dictionary: grock,\u201d 2003)", "previouslyFormattedCitation" : "(\u201cUrban Dictionary: grock,\u201d 2003)" }, "properties" : { "noteIndex" : 0 }, "schema" : "https://github.com/citation-style-language/schema/raw/master/csl-citation.json" }</w:instrText>
      </w:r>
      <w:r w:rsidR="00145CE5">
        <w:fldChar w:fldCharType="separate"/>
      </w:r>
      <w:r w:rsidR="00145CE5" w:rsidRPr="00145CE5">
        <w:rPr>
          <w:noProof/>
        </w:rPr>
        <w:t>(“Urban Dictionary: grock,” 2003)</w:t>
      </w:r>
      <w:r w:rsidR="00145CE5">
        <w:fldChar w:fldCharType="end"/>
      </w:r>
      <w:r w:rsidR="00145CE5">
        <w:t>.</w:t>
      </w:r>
    </w:p>
    <w:p w14:paraId="54CEADC3" w14:textId="17ECF5CC" w:rsidR="00366B92" w:rsidRDefault="00366B92" w:rsidP="00366B92">
      <w:pPr>
        <w:pStyle w:val="Heading3"/>
      </w:pPr>
      <w:r>
        <w:lastRenderedPageBreak/>
        <w:t>Humans</w:t>
      </w:r>
    </w:p>
    <w:p w14:paraId="53CF5B2C" w14:textId="1EF139F4" w:rsidR="00157876" w:rsidRDefault="00157876" w:rsidP="00A30EB8">
      <w:pPr>
        <w:pStyle w:val="Heading2"/>
      </w:pPr>
      <w:r>
        <w:rPr>
          <w:noProof/>
          <w:lang w:eastAsia="en-US"/>
        </w:rPr>
        <w:drawing>
          <wp:inline distT="0" distB="0" distL="0" distR="0" wp14:anchorId="274908A1" wp14:editId="03A8632A">
            <wp:extent cx="6858000" cy="1149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strich story with human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1149985"/>
                    </a:xfrm>
                    <a:prstGeom prst="rect">
                      <a:avLst/>
                    </a:prstGeom>
                  </pic:spPr>
                </pic:pic>
              </a:graphicData>
            </a:graphic>
          </wp:inline>
        </w:drawing>
      </w:r>
    </w:p>
    <w:p w14:paraId="789E526C" w14:textId="17254CA5" w:rsidR="00366B92" w:rsidRDefault="00366B92" w:rsidP="00366B92">
      <w:pPr>
        <w:pStyle w:val="Heading2"/>
      </w:pPr>
      <w:r>
        <w:t>Versus Robots</w:t>
      </w:r>
    </w:p>
    <w:p w14:paraId="0B961160" w14:textId="4201D2EE" w:rsidR="00366B92" w:rsidRPr="00366B92" w:rsidRDefault="00366B92" w:rsidP="00366B92">
      <w:r>
        <w:rPr>
          <w:noProof/>
          <w:lang w:eastAsia="en-US"/>
        </w:rPr>
        <w:drawing>
          <wp:inline distT="0" distB="0" distL="0" distR="0" wp14:anchorId="5B05CFB9" wp14:editId="0A975EF6">
            <wp:extent cx="6858000" cy="1149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trich story with robot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1149985"/>
                    </a:xfrm>
                    <a:prstGeom prst="rect">
                      <a:avLst/>
                    </a:prstGeom>
                  </pic:spPr>
                </pic:pic>
              </a:graphicData>
            </a:graphic>
          </wp:inline>
        </w:drawing>
      </w:r>
    </w:p>
    <w:p w14:paraId="431D0F3C" w14:textId="2A111F22" w:rsidR="00A30EB8" w:rsidRDefault="00A30EB8" w:rsidP="00A30EB8">
      <w:pPr>
        <w:pStyle w:val="Heading2"/>
      </w:pPr>
      <w:r>
        <w:t>How to Choose</w:t>
      </w:r>
    </w:p>
    <w:p w14:paraId="7D078987" w14:textId="0E27E23D" w:rsidR="005E5683" w:rsidRDefault="005E5683" w:rsidP="005E5683">
      <w:r>
        <w:t>As students use th</w:t>
      </w:r>
      <w:r w:rsidR="00757038">
        <w:t>ese words daily to communicate</w:t>
      </w:r>
      <w:r>
        <w:t xml:space="preserve"> their emotions, they will be an automated part of their speech patterns. By sprinkling these expressions appropriately in their conversation the students sound more natural and keep the attention of the native speaker.</w:t>
      </w:r>
    </w:p>
    <w:p w14:paraId="6E1E3113" w14:textId="3E79D2CE" w:rsidR="00A040E5" w:rsidRDefault="00145CE5" w:rsidP="00145CE5">
      <w:r>
        <w:t>As you think about the language that you teach, focus on the flavoring words that will help novice speakers get out of communication breakdown with grace. Students will need to rehearse the expressions many times in impromptu conversations, so they will only be able to learn about five of these expressions a year.  In the first years choose expressions that have maximum flexibility to</w:t>
      </w:r>
      <w:r w:rsidR="00A040E5">
        <w:t xml:space="preserve"> be sprinkled</w:t>
      </w:r>
      <w:r>
        <w:t xml:space="preserve"> </w:t>
      </w:r>
      <w:r w:rsidR="00A040E5">
        <w:t>randomly in a conversation. Avoid slang as it</w:t>
      </w:r>
      <w:r w:rsidR="00F7309A">
        <w:t xml:space="preserve"> will make students sound like</w:t>
      </w:r>
      <w:r w:rsidR="00A040E5">
        <w:t xml:space="preserve"> refugees from a forgotten time in a few years</w:t>
      </w:r>
      <w:r w:rsidR="00757038">
        <w:t xml:space="preserve"> or months.</w:t>
      </w:r>
      <w:r w:rsidR="00A040E5">
        <w:t xml:space="preserve"> </w:t>
      </w:r>
    </w:p>
    <w:p w14:paraId="07D4BBD8" w14:textId="0319B447" w:rsidR="002201FD" w:rsidRDefault="002201FD" w:rsidP="00145CE5">
      <w:r>
        <w:rPr>
          <w:noProof/>
          <w:lang w:eastAsia="en-US"/>
        </w:rPr>
        <w:drawing>
          <wp:inline distT="0" distB="0" distL="0" distR="0" wp14:anchorId="0C25B5CD" wp14:editId="35C60978">
            <wp:extent cx="3000375" cy="3267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xton_Comic_Refugee_from_the_60s_by_ParisGranville.png"/>
                    <pic:cNvPicPr/>
                  </pic:nvPicPr>
                  <pic:blipFill>
                    <a:blip r:embed="rId12">
                      <a:extLst>
                        <a:ext uri="{28A0092B-C50C-407E-A947-70E740481C1C}">
                          <a14:useLocalDpi xmlns:a14="http://schemas.microsoft.com/office/drawing/2010/main" val="0"/>
                        </a:ext>
                      </a:extLst>
                    </a:blip>
                    <a:stretch>
                      <a:fillRect/>
                    </a:stretch>
                  </pic:blipFill>
                  <pic:spPr>
                    <a:xfrm>
                      <a:off x="0" y="0"/>
                      <a:ext cx="3000375" cy="3267075"/>
                    </a:xfrm>
                    <a:prstGeom prst="rect">
                      <a:avLst/>
                    </a:prstGeom>
                  </pic:spPr>
                </pic:pic>
              </a:graphicData>
            </a:graphic>
          </wp:inline>
        </w:drawing>
      </w:r>
    </w:p>
    <w:p w14:paraId="6A0BCA09" w14:textId="69953D72" w:rsidR="00145CE5" w:rsidRDefault="00A040E5" w:rsidP="00145CE5">
      <w:r>
        <w:t>As students move into the intermediate level, they can begin to use expressions with more precision. These expressions tend to fall in logical categories</w:t>
      </w:r>
      <w:r w:rsidR="00DB24F3">
        <w:t xml:space="preserve">. </w:t>
      </w:r>
    </w:p>
    <w:p w14:paraId="49A0F71D" w14:textId="03C5E31B" w:rsidR="00A040E5" w:rsidRDefault="00A040E5" w:rsidP="00A040E5">
      <w:pPr>
        <w:pStyle w:val="ListParagraph"/>
        <w:numPr>
          <w:ilvl w:val="0"/>
          <w:numId w:val="3"/>
        </w:numPr>
      </w:pPr>
      <w:r>
        <w:t>Enter a conversation</w:t>
      </w:r>
    </w:p>
    <w:p w14:paraId="75D7461B" w14:textId="004115DE" w:rsidR="00A040E5" w:rsidRDefault="00A040E5" w:rsidP="00A040E5">
      <w:pPr>
        <w:pStyle w:val="ListParagraph"/>
        <w:numPr>
          <w:ilvl w:val="0"/>
          <w:numId w:val="3"/>
        </w:numPr>
      </w:pPr>
      <w:r>
        <w:t>Solicit someone’s opinion</w:t>
      </w:r>
    </w:p>
    <w:p w14:paraId="5BF09E71" w14:textId="71F8C09B" w:rsidR="00A040E5" w:rsidRDefault="00A040E5" w:rsidP="00A040E5">
      <w:pPr>
        <w:pStyle w:val="ListParagraph"/>
        <w:numPr>
          <w:ilvl w:val="0"/>
          <w:numId w:val="3"/>
        </w:numPr>
      </w:pPr>
      <w:r>
        <w:t>Summarize your ideas</w:t>
      </w:r>
    </w:p>
    <w:p w14:paraId="4BBECE2F" w14:textId="1414ABC5" w:rsidR="00A040E5" w:rsidRDefault="00A040E5" w:rsidP="00A040E5">
      <w:pPr>
        <w:pStyle w:val="ListParagraph"/>
        <w:numPr>
          <w:ilvl w:val="0"/>
          <w:numId w:val="3"/>
        </w:numPr>
      </w:pPr>
      <w:r>
        <w:t xml:space="preserve">React </w:t>
      </w:r>
      <w:r w:rsidR="00DB24F3">
        <w:t>positively or negatively</w:t>
      </w:r>
    </w:p>
    <w:p w14:paraId="379B8071" w14:textId="46D4D289" w:rsidR="00A040E5" w:rsidRDefault="00A040E5" w:rsidP="00A040E5">
      <w:pPr>
        <w:pStyle w:val="ListParagraph"/>
        <w:numPr>
          <w:ilvl w:val="0"/>
          <w:numId w:val="3"/>
        </w:numPr>
      </w:pPr>
      <w:r>
        <w:t>Express agreement or disagreement</w:t>
      </w:r>
      <w:r w:rsidR="00DB24F3">
        <w:t xml:space="preserve"> clearly and politely</w:t>
      </w:r>
    </w:p>
    <w:p w14:paraId="134473C8" w14:textId="150BF7CD" w:rsidR="00A040E5" w:rsidRDefault="00A040E5" w:rsidP="00A040E5">
      <w:pPr>
        <w:pStyle w:val="ListParagraph"/>
        <w:numPr>
          <w:ilvl w:val="0"/>
          <w:numId w:val="3"/>
        </w:numPr>
      </w:pPr>
      <w:r>
        <w:t>Show that you are pondering an idea</w:t>
      </w:r>
    </w:p>
    <w:p w14:paraId="072E3809" w14:textId="5DB74910" w:rsidR="00A040E5" w:rsidRDefault="00A040E5" w:rsidP="00A040E5">
      <w:pPr>
        <w:pStyle w:val="ListParagraph"/>
        <w:numPr>
          <w:ilvl w:val="0"/>
          <w:numId w:val="3"/>
        </w:numPr>
      </w:pPr>
      <w:r>
        <w:t>Say that you don’t know what to do</w:t>
      </w:r>
    </w:p>
    <w:p w14:paraId="2AFB79F7" w14:textId="5C093EDE" w:rsidR="00DB24F3" w:rsidRDefault="00DB24F3" w:rsidP="00A040E5">
      <w:pPr>
        <w:pStyle w:val="ListParagraph"/>
        <w:numPr>
          <w:ilvl w:val="0"/>
          <w:numId w:val="3"/>
        </w:numPr>
      </w:pPr>
      <w:r>
        <w:t>React with confusion</w:t>
      </w:r>
    </w:p>
    <w:p w14:paraId="7775F729" w14:textId="20203CD7" w:rsidR="00757038" w:rsidRPr="00145CE5" w:rsidRDefault="00CE6952" w:rsidP="00A040E5">
      <w:pPr>
        <w:pStyle w:val="ListParagraph"/>
        <w:numPr>
          <w:ilvl w:val="0"/>
          <w:numId w:val="3"/>
        </w:numPr>
      </w:pPr>
      <w:r>
        <w:t>And more</w:t>
      </w:r>
    </w:p>
    <w:p w14:paraId="4C8B1358" w14:textId="161166EA" w:rsidR="00CE6952" w:rsidRDefault="00CE6952" w:rsidP="00CE6952">
      <w:pPr>
        <w:pStyle w:val="Heading1"/>
        <w:rPr>
          <w:sz w:val="22"/>
          <w:lang w:val="fr-FR"/>
        </w:rPr>
      </w:pPr>
      <w:r>
        <w:t>Soupe sp</w:t>
      </w:r>
      <w:r>
        <w:rPr>
          <w:lang w:val="fr-FR"/>
        </w:rPr>
        <w:t xml:space="preserve">écial </w:t>
      </w:r>
      <w:r>
        <w:rPr>
          <w:sz w:val="22"/>
          <w:lang w:val="fr-FR"/>
        </w:rPr>
        <w:t>by Paris Granville</w:t>
      </w:r>
    </w:p>
    <w:p w14:paraId="272A1FC4" w14:textId="2FAD43D0" w:rsidR="00CE6952" w:rsidRPr="00CE6952" w:rsidRDefault="00F7309A" w:rsidP="00CE6952">
      <w:pPr>
        <w:rPr>
          <w:lang w:val="fr-FR"/>
        </w:rPr>
      </w:pPr>
      <w:bookmarkStart w:id="0" w:name="_GoBack"/>
      <w:r>
        <w:rPr>
          <w:noProof/>
          <w:lang w:eastAsia="en-US"/>
        </w:rPr>
        <w:drawing>
          <wp:inline distT="0" distB="0" distL="0" distR="0" wp14:anchorId="250F4148" wp14:editId="1A4F35E9">
            <wp:extent cx="3964991" cy="4622242"/>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uche dans la soupe 3 bd.png"/>
                    <pic:cNvPicPr/>
                  </pic:nvPicPr>
                  <pic:blipFill rotWithShape="1">
                    <a:blip r:embed="rId13" cstate="print">
                      <a:extLst>
                        <a:ext uri="{28A0092B-C50C-407E-A947-70E740481C1C}">
                          <a14:useLocalDpi xmlns:a14="http://schemas.microsoft.com/office/drawing/2010/main" val="0"/>
                        </a:ext>
                      </a:extLst>
                    </a:blip>
                    <a:srcRect b="15215"/>
                    <a:stretch/>
                  </pic:blipFill>
                  <pic:spPr bwMode="auto">
                    <a:xfrm>
                      <a:off x="0" y="0"/>
                      <a:ext cx="3971080" cy="4629340"/>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5ED4978A" w14:textId="77777777" w:rsidR="00001848" w:rsidRPr="00410E8E" w:rsidRDefault="00001848" w:rsidP="00001848">
      <w:pPr>
        <w:pStyle w:val="Heading2"/>
      </w:pPr>
      <w:r w:rsidRPr="00410E8E">
        <w:t>Ways to Teach</w:t>
      </w:r>
    </w:p>
    <w:p w14:paraId="3DA55E78" w14:textId="64FC30E0" w:rsidR="00D21FA7" w:rsidRDefault="00410E8E" w:rsidP="00410E8E">
      <w:r>
        <w:t xml:space="preserve">Since these expressions only gain meaning in the context of a conversation, they cannot be taught in a vocabulary list. They also often defy conventional grammar. The teacher can engineer a surprising situation by asking a student to come to class with pink hair, their favorite stuffed animal, or </w:t>
      </w:r>
      <w:r w:rsidR="00D21FA7">
        <w:t xml:space="preserve">a surprise party for a student. The teacher will model a natural react to the situation in the target language. Then students are invited to create surprising phrases in the target language for the other to practice their natural reactions. The expression can be the word of the week, with a bonus offered to students who are able to work it into the conversation naturally. </w:t>
      </w:r>
      <w:r w:rsidR="00F7309A">
        <w:t>Finally,</w:t>
      </w:r>
      <w:r w:rsidR="00D21FA7">
        <w:t xml:space="preserve"> it can be added to the word wall.</w:t>
      </w:r>
    </w:p>
    <w:p w14:paraId="0FA995FC" w14:textId="6BDDC4FC" w:rsidR="00D21FA7" w:rsidRDefault="00D21FA7" w:rsidP="00D21FA7">
      <w:pPr>
        <w:pStyle w:val="Heading2"/>
      </w:pPr>
      <w:r>
        <w:t>Five Core Expression for Novice Learners</w:t>
      </w:r>
    </w:p>
    <w:tbl>
      <w:tblPr>
        <w:tblStyle w:val="TableGrid"/>
        <w:tblW w:w="0" w:type="auto"/>
        <w:tblLook w:val="04A0" w:firstRow="1" w:lastRow="0" w:firstColumn="1" w:lastColumn="0" w:noHBand="0" w:noVBand="1"/>
      </w:tblPr>
      <w:tblGrid>
        <w:gridCol w:w="1786"/>
        <w:gridCol w:w="1792"/>
        <w:gridCol w:w="1789"/>
        <w:gridCol w:w="1792"/>
        <w:gridCol w:w="1788"/>
        <w:gridCol w:w="1793"/>
      </w:tblGrid>
      <w:tr w:rsidR="009710DF" w14:paraId="24108F58" w14:textId="77777777" w:rsidTr="00D21FA7">
        <w:trPr>
          <w:trHeight w:val="242"/>
        </w:trPr>
        <w:tc>
          <w:tcPr>
            <w:tcW w:w="1798" w:type="dxa"/>
            <w:tcBorders>
              <w:top w:val="single" w:sz="24" w:space="0" w:color="auto"/>
              <w:left w:val="single" w:sz="24" w:space="0" w:color="auto"/>
            </w:tcBorders>
          </w:tcPr>
          <w:p w14:paraId="4320F98C" w14:textId="77777777" w:rsidR="00D21FA7" w:rsidRDefault="00D21FA7" w:rsidP="00880ED7">
            <w:pPr>
              <w:pStyle w:val="Heading3"/>
              <w:outlineLvl w:val="2"/>
            </w:pPr>
            <w:r>
              <w:t>Chinese</w:t>
            </w:r>
          </w:p>
          <w:p w14:paraId="09D604D3" w14:textId="545A2FED" w:rsidR="009710DF" w:rsidRPr="009710DF" w:rsidRDefault="009710DF" w:rsidP="009710DF">
            <w:r>
              <w:fldChar w:fldCharType="begin" w:fldLock="1"/>
            </w:r>
            <w:r>
              <w:instrText>ADDIN CSL_CITATION { "citationItems" : [ { "id" : "ITEM-1", "itemData" : { "URL" : "http://www.yellowbridge.com/chinese/partsearch.php?part=interj", "accessed" : { "date-parts" : [ [ "2015", "6", "29" ] ] }, "author" : [ { "dropping-particle" : "", "family" : "Lau", "given" : "J.", "non-dropping-particle" : "", "parse-names" : false, "suffix" : "" } ], "container-title" : "YellowBridge", "id" : "ITEM-1", "issued" : { "date-parts" : [ [ "2015" ] ] }, "title" : "Mandarin Chinese Parts of Speech: (\u53f9) interjection", "type" : "webpage" }, "uris" : [ "http://www.mendeley.com/documents/?uuid=09d99fcd-5aca-4407-b08d-d5093c43dc96" ] } ], "mendeley" : { "formattedCitation" : "(Lau, 2015)", "plainTextFormattedCitation" : "(Lau, 2015)", "previouslyFormattedCitation" : "(Lau, 2015)" }, "properties" : { "noteIndex" : 0 }, "schema" : "https://github.com/citation-style-language/schema/raw/master/csl-citation.json" }</w:instrText>
            </w:r>
            <w:r>
              <w:fldChar w:fldCharType="separate"/>
            </w:r>
            <w:r w:rsidRPr="009710DF">
              <w:rPr>
                <w:noProof/>
              </w:rPr>
              <w:t>(Lau, 2015)</w:t>
            </w:r>
            <w:r>
              <w:fldChar w:fldCharType="end"/>
            </w:r>
          </w:p>
        </w:tc>
        <w:tc>
          <w:tcPr>
            <w:tcW w:w="1798" w:type="dxa"/>
            <w:tcBorders>
              <w:top w:val="single" w:sz="24" w:space="0" w:color="auto"/>
              <w:right w:val="single" w:sz="24" w:space="0" w:color="auto"/>
            </w:tcBorders>
          </w:tcPr>
          <w:p w14:paraId="7283C839" w14:textId="39EA2307" w:rsidR="00D21FA7" w:rsidRDefault="00D21FA7" w:rsidP="00880ED7">
            <w:pPr>
              <w:pStyle w:val="Heading3"/>
              <w:outlineLvl w:val="2"/>
            </w:pPr>
            <w:r>
              <w:t>Explanation</w:t>
            </w:r>
          </w:p>
        </w:tc>
        <w:tc>
          <w:tcPr>
            <w:tcW w:w="1798" w:type="dxa"/>
            <w:tcBorders>
              <w:top w:val="single" w:sz="24" w:space="0" w:color="auto"/>
              <w:left w:val="single" w:sz="24" w:space="0" w:color="auto"/>
            </w:tcBorders>
          </w:tcPr>
          <w:p w14:paraId="3503589A" w14:textId="77777777" w:rsidR="00D21FA7" w:rsidRDefault="00D21FA7" w:rsidP="009710DF">
            <w:pPr>
              <w:pStyle w:val="Heading3"/>
              <w:outlineLvl w:val="2"/>
            </w:pPr>
            <w:r>
              <w:t>French</w:t>
            </w:r>
            <w:r w:rsidR="009710DF">
              <w:t xml:space="preserve"> </w:t>
            </w:r>
          </w:p>
          <w:p w14:paraId="44A52E0A" w14:textId="47EFC906" w:rsidR="009710DF" w:rsidRPr="009710DF" w:rsidRDefault="009710DF" w:rsidP="009710DF">
            <w:r>
              <w:fldChar w:fldCharType="begin" w:fldLock="1"/>
            </w:r>
            <w:r>
              <w:instrText>ADDIN CSL_CITATION { "citationItems" : [ { "id" : "ITEM-1", "itemData" : { "URL" : "http://fle.u-strasbg.fr/webl/wflebao/chap03.htm", "accessed" : { "date-parts" : [ [ "2015", "6", "29" ] ] }, "author" : [ { "dropping-particle" : "de", "family" : "Strasbourg", "given" : "Universit\u00e9", "non-dropping-particle" : "", "parse-names" : false, "suffix" : "" } ], "id" : "ITEM-1", "issued" : { "date-parts" : [ [ "0" ] ] }, "title" : "Fran\u00e7ais langue \u00e9trang\u00e8re", "type" : "webpage" }, "uris" : [ "http://www.mendeley.com/documents/?uuid=10eac036-8298-4248-9588-2b5dfd72d699" ] } ], "mendeley" : { "formattedCitation" : "(Strasbourg, n.d.)", "plainTextFormattedCitation" : "(Strasbourg, n.d.)", "previouslyFormattedCitation" : "(Strasbourg, n.d.)" }, "properties" : { "noteIndex" : 0 }, "schema" : "https://github.com/citation-style-language/schema/raw/master/csl-citation.json" }</w:instrText>
            </w:r>
            <w:r>
              <w:fldChar w:fldCharType="separate"/>
            </w:r>
            <w:r w:rsidRPr="009710DF">
              <w:rPr>
                <w:noProof/>
              </w:rPr>
              <w:t>(Strasbourg, n.d.)</w:t>
            </w:r>
            <w:r>
              <w:fldChar w:fldCharType="end"/>
            </w:r>
          </w:p>
        </w:tc>
        <w:tc>
          <w:tcPr>
            <w:tcW w:w="1798" w:type="dxa"/>
            <w:tcBorders>
              <w:top w:val="single" w:sz="24" w:space="0" w:color="auto"/>
              <w:right w:val="single" w:sz="24" w:space="0" w:color="auto"/>
            </w:tcBorders>
          </w:tcPr>
          <w:p w14:paraId="0FE40EE0" w14:textId="7EC65E34" w:rsidR="00D21FA7" w:rsidRDefault="00D21FA7" w:rsidP="00880ED7">
            <w:pPr>
              <w:pStyle w:val="Heading3"/>
              <w:outlineLvl w:val="2"/>
            </w:pPr>
            <w:r>
              <w:t>Explanation</w:t>
            </w:r>
          </w:p>
        </w:tc>
        <w:tc>
          <w:tcPr>
            <w:tcW w:w="1799" w:type="dxa"/>
            <w:tcBorders>
              <w:top w:val="single" w:sz="24" w:space="0" w:color="auto"/>
              <w:left w:val="single" w:sz="24" w:space="0" w:color="auto"/>
            </w:tcBorders>
          </w:tcPr>
          <w:p w14:paraId="54FFCC96" w14:textId="77777777" w:rsidR="00D21FA7" w:rsidRDefault="00D21FA7" w:rsidP="00880ED7">
            <w:pPr>
              <w:pStyle w:val="Heading3"/>
              <w:outlineLvl w:val="2"/>
            </w:pPr>
            <w:r>
              <w:t>Spanish</w:t>
            </w:r>
          </w:p>
          <w:p w14:paraId="3B1B67AA" w14:textId="58C73B21" w:rsidR="009710DF" w:rsidRPr="009710DF" w:rsidRDefault="009710DF" w:rsidP="009710DF">
            <w:r>
              <w:fldChar w:fldCharType="begin" w:fldLock="1"/>
            </w:r>
            <w:r w:rsidR="00BC03F4">
              <w:instrText>ADDIN CSL_CITATION { "citationItems" : [ { "id" : "ITEM-1", "itemData" : { "URL" : "http://www.orbilat.com/Languages/Spanish/Grammar/Spanish-Interjections.html", "accessed" : { "date-parts" : [ [ "2015", "6", "29" ] ] }, "author" : [ { "dropping-particle" : "", "family" : "Batzarov", "given" : "Zdravko", "non-dropping-particle" : "", "parse-names" : false, "suffix" : "" } ], "container-title" : "Orbis Latinus", "id" : "ITEM-1", "issued" : { "date-parts" : [ [ "0" ] ] }, "title" : "Spanish language: Interjections", "type" : "webpage" }, "uris" : [ "http://www.mendeley.com/documents/?uuid=37e1fbeb-0814-41e3-b06f-8913b3e249e7" ] } ], "mendeley" : { "formattedCitation" : "(Batzarov, n.d.)", "plainTextFormattedCitation" : "(Batzarov, n.d.)", "previouslyFormattedCitation" : "(Batzarov, n.d.)" }, "properties" : { "noteIndex" : 0 }, "schema" : "https://github.com/citation-style-language/schema/raw/master/csl-citation.json" }</w:instrText>
            </w:r>
            <w:r>
              <w:fldChar w:fldCharType="separate"/>
            </w:r>
            <w:r w:rsidRPr="009710DF">
              <w:rPr>
                <w:noProof/>
              </w:rPr>
              <w:t>(Batzarov, n.d.)</w:t>
            </w:r>
            <w:r>
              <w:fldChar w:fldCharType="end"/>
            </w:r>
          </w:p>
        </w:tc>
        <w:tc>
          <w:tcPr>
            <w:tcW w:w="1799" w:type="dxa"/>
            <w:tcBorders>
              <w:top w:val="single" w:sz="24" w:space="0" w:color="auto"/>
              <w:right w:val="single" w:sz="24" w:space="0" w:color="auto"/>
            </w:tcBorders>
          </w:tcPr>
          <w:p w14:paraId="2564B8C1" w14:textId="690112B4" w:rsidR="00D21FA7" w:rsidRDefault="00D21FA7" w:rsidP="00880ED7">
            <w:pPr>
              <w:pStyle w:val="Heading3"/>
              <w:outlineLvl w:val="2"/>
            </w:pPr>
            <w:r>
              <w:t>Explanation</w:t>
            </w:r>
          </w:p>
        </w:tc>
      </w:tr>
      <w:tr w:rsidR="009710DF" w14:paraId="511AB66A" w14:textId="77777777" w:rsidTr="00880ED7">
        <w:tc>
          <w:tcPr>
            <w:tcW w:w="1798" w:type="dxa"/>
            <w:tcBorders>
              <w:left w:val="single" w:sz="24" w:space="0" w:color="auto"/>
            </w:tcBorders>
            <w:vAlign w:val="center"/>
          </w:tcPr>
          <w:p w14:paraId="2A57E488" w14:textId="02585E45" w:rsidR="00D21FA7" w:rsidRDefault="00D21FA7" w:rsidP="00880ED7">
            <w:pPr>
              <w:jc w:val="center"/>
              <w:rPr>
                <w:lang w:eastAsia="zh-CN"/>
              </w:rPr>
            </w:pPr>
            <w:r>
              <w:rPr>
                <w:rFonts w:ascii="SimSun" w:hAnsi="SimSun" w:hint="eastAsia"/>
                <w:lang w:eastAsia="zh-CN"/>
              </w:rPr>
              <w:t>是</w:t>
            </w:r>
            <w:r>
              <w:rPr>
                <w:rFonts w:ascii="Microsoft JhengHei" w:eastAsia="Microsoft JhengHei" w:hAnsi="Microsoft JhengHei" w:cs="Microsoft JhengHei" w:hint="eastAsia"/>
                <w:lang w:eastAsia="zh-CN"/>
              </w:rPr>
              <w:t>吗</w:t>
            </w:r>
            <w:r>
              <w:rPr>
                <w:rFonts w:ascii="Meiryo" w:hAnsi="Meiryo" w:cs="Meiryo" w:hint="eastAsia"/>
                <w:lang w:eastAsia="zh-CN"/>
              </w:rPr>
              <w:t>？</w:t>
            </w:r>
            <w:r>
              <w:rPr>
                <w:rFonts w:hint="eastAsia"/>
                <w:lang w:eastAsia="zh-CN"/>
              </w:rPr>
              <w:t>--sh</w:t>
            </w:r>
            <w:r>
              <w:rPr>
                <w:rFonts w:hint="eastAsia"/>
                <w:lang w:eastAsia="zh-CN"/>
              </w:rPr>
              <w:t>ì</w:t>
            </w:r>
            <w:r>
              <w:rPr>
                <w:rFonts w:hint="eastAsia"/>
                <w:lang w:eastAsia="zh-CN"/>
              </w:rPr>
              <w:t xml:space="preserve"> ma?</w:t>
            </w:r>
          </w:p>
        </w:tc>
        <w:tc>
          <w:tcPr>
            <w:tcW w:w="1798" w:type="dxa"/>
            <w:tcBorders>
              <w:right w:val="single" w:sz="24" w:space="0" w:color="auto"/>
            </w:tcBorders>
            <w:vAlign w:val="center"/>
          </w:tcPr>
          <w:p w14:paraId="08E70CC7" w14:textId="081FAB1D" w:rsidR="00D21FA7" w:rsidRPr="00D21FA7" w:rsidRDefault="00D21FA7" w:rsidP="00880ED7">
            <w:pPr>
              <w:jc w:val="center"/>
              <w:rPr>
                <w:rFonts w:ascii="Calibri" w:hAnsi="Calibri"/>
              </w:rPr>
            </w:pPr>
            <w:r>
              <w:t>Is that so?</w:t>
            </w:r>
          </w:p>
        </w:tc>
        <w:tc>
          <w:tcPr>
            <w:tcW w:w="1798" w:type="dxa"/>
            <w:tcBorders>
              <w:left w:val="single" w:sz="24" w:space="0" w:color="auto"/>
            </w:tcBorders>
            <w:vAlign w:val="center"/>
          </w:tcPr>
          <w:p w14:paraId="22E1D9D4" w14:textId="2EEED084" w:rsidR="00D21FA7" w:rsidRPr="00A046CD" w:rsidRDefault="00880ED7" w:rsidP="00880ED7">
            <w:pPr>
              <w:jc w:val="center"/>
              <w:rPr>
                <w:lang w:val="fr-FR"/>
              </w:rPr>
            </w:pPr>
            <w:r w:rsidRPr="00A046CD">
              <w:rPr>
                <w:lang w:val="fr-FR"/>
              </w:rPr>
              <w:t>Ah bon?!?</w:t>
            </w:r>
          </w:p>
        </w:tc>
        <w:tc>
          <w:tcPr>
            <w:tcW w:w="1798" w:type="dxa"/>
            <w:tcBorders>
              <w:right w:val="single" w:sz="24" w:space="0" w:color="auto"/>
            </w:tcBorders>
            <w:vAlign w:val="center"/>
          </w:tcPr>
          <w:p w14:paraId="4D6E61F2" w14:textId="1D84A689" w:rsidR="00D21FA7" w:rsidRDefault="00880ED7" w:rsidP="00A046CD">
            <w:pPr>
              <w:jc w:val="center"/>
            </w:pPr>
            <w:r>
              <w:t>Really wow</w:t>
            </w:r>
            <w:r w:rsidR="007870A7">
              <w:t>!</w:t>
            </w:r>
            <w:r w:rsidR="00A046CD">
              <w:t xml:space="preserve"> (Surprise)</w:t>
            </w:r>
            <w:r>
              <w:t xml:space="preserve"> or Really what</w:t>
            </w:r>
            <w:r w:rsidR="007870A7">
              <w:t>?</w:t>
            </w:r>
            <w:r>
              <w:t xml:space="preserve"> </w:t>
            </w:r>
            <w:r w:rsidR="00A046CD">
              <w:t>(C</w:t>
            </w:r>
            <w:r w:rsidR="007870A7">
              <w:t>onfusion)</w:t>
            </w:r>
          </w:p>
        </w:tc>
        <w:tc>
          <w:tcPr>
            <w:tcW w:w="1799" w:type="dxa"/>
            <w:tcBorders>
              <w:left w:val="single" w:sz="24" w:space="0" w:color="auto"/>
            </w:tcBorders>
            <w:vAlign w:val="center"/>
          </w:tcPr>
          <w:p w14:paraId="1EB06924" w14:textId="77C4E7CA" w:rsidR="00D21FA7" w:rsidRPr="009710DF" w:rsidRDefault="009710DF" w:rsidP="00880ED7">
            <w:pPr>
              <w:jc w:val="center"/>
              <w:rPr>
                <w:lang w:val="es-AR"/>
              </w:rPr>
            </w:pPr>
            <w:r w:rsidRPr="009710DF">
              <w:rPr>
                <w:lang w:val="es-AR"/>
              </w:rPr>
              <w:t>Dime…</w:t>
            </w:r>
          </w:p>
        </w:tc>
        <w:tc>
          <w:tcPr>
            <w:tcW w:w="1799" w:type="dxa"/>
            <w:tcBorders>
              <w:right w:val="single" w:sz="24" w:space="0" w:color="auto"/>
            </w:tcBorders>
            <w:vAlign w:val="center"/>
          </w:tcPr>
          <w:p w14:paraId="70BE56F4" w14:textId="7A835E97" w:rsidR="00D21FA7" w:rsidRDefault="009710DF" w:rsidP="00880ED7">
            <w:pPr>
              <w:jc w:val="center"/>
            </w:pPr>
            <w:r>
              <w:t>Tell me… (Open the dialog)</w:t>
            </w:r>
          </w:p>
        </w:tc>
      </w:tr>
      <w:tr w:rsidR="009710DF" w14:paraId="57557839" w14:textId="77777777" w:rsidTr="00880ED7">
        <w:tc>
          <w:tcPr>
            <w:tcW w:w="1798" w:type="dxa"/>
            <w:tcBorders>
              <w:left w:val="single" w:sz="24" w:space="0" w:color="auto"/>
            </w:tcBorders>
            <w:vAlign w:val="center"/>
          </w:tcPr>
          <w:p w14:paraId="540BEDCA" w14:textId="19368EB2" w:rsidR="00D21FA7" w:rsidRDefault="00D21FA7" w:rsidP="00880ED7">
            <w:pPr>
              <w:jc w:val="center"/>
              <w:rPr>
                <w:rFonts w:ascii="SimSun" w:hAnsi="SimSun"/>
                <w:lang w:eastAsia="zh-CN"/>
              </w:rPr>
            </w:pPr>
            <w:r>
              <w:rPr>
                <w:rFonts w:ascii="SimSun" w:hAnsi="SimSun" w:hint="eastAsia"/>
                <w:lang w:eastAsia="zh-CN"/>
              </w:rPr>
              <w:t>真的</w:t>
            </w:r>
            <w:r>
              <w:rPr>
                <w:rFonts w:ascii="Microsoft JhengHei" w:eastAsia="Microsoft JhengHei" w:hAnsi="Microsoft JhengHei" w:cs="Microsoft JhengHei" w:hint="eastAsia"/>
                <w:lang w:eastAsia="zh-CN"/>
              </w:rPr>
              <w:t>吗</w:t>
            </w:r>
            <w:r>
              <w:rPr>
                <w:rFonts w:ascii="Meiryo" w:eastAsia="Meiryo" w:hAnsi="Meiryo" w:cs="Meiryo" w:hint="eastAsia"/>
                <w:lang w:eastAsia="zh-CN"/>
              </w:rPr>
              <w:t>？</w:t>
            </w:r>
            <w:r>
              <w:rPr>
                <w:rFonts w:hint="eastAsia"/>
                <w:lang w:eastAsia="zh-CN"/>
              </w:rPr>
              <w:t>-- zh</w:t>
            </w:r>
            <w:r>
              <w:rPr>
                <w:rFonts w:hint="eastAsia"/>
                <w:lang w:eastAsia="zh-CN"/>
              </w:rPr>
              <w:t>ē</w:t>
            </w:r>
            <w:r>
              <w:rPr>
                <w:rFonts w:hint="eastAsia"/>
                <w:lang w:eastAsia="zh-CN"/>
              </w:rPr>
              <w:t>nde ma?</w:t>
            </w:r>
          </w:p>
        </w:tc>
        <w:tc>
          <w:tcPr>
            <w:tcW w:w="1798" w:type="dxa"/>
            <w:tcBorders>
              <w:right w:val="single" w:sz="24" w:space="0" w:color="auto"/>
            </w:tcBorders>
            <w:vAlign w:val="center"/>
          </w:tcPr>
          <w:p w14:paraId="68AE30A7" w14:textId="5E9C9E0D" w:rsidR="00D21FA7" w:rsidRDefault="00880ED7" w:rsidP="00880ED7">
            <w:pPr>
              <w:jc w:val="center"/>
            </w:pPr>
            <w:r>
              <w:t>Really?</w:t>
            </w:r>
          </w:p>
        </w:tc>
        <w:tc>
          <w:tcPr>
            <w:tcW w:w="1798" w:type="dxa"/>
            <w:tcBorders>
              <w:left w:val="single" w:sz="24" w:space="0" w:color="auto"/>
            </w:tcBorders>
            <w:vAlign w:val="center"/>
          </w:tcPr>
          <w:p w14:paraId="7D8D6170" w14:textId="6AA203CB" w:rsidR="00D21FA7" w:rsidRPr="00A046CD" w:rsidRDefault="00A046CD" w:rsidP="00880ED7">
            <w:pPr>
              <w:jc w:val="center"/>
              <w:rPr>
                <w:lang w:val="fr-FR"/>
              </w:rPr>
            </w:pPr>
            <w:r>
              <w:rPr>
                <w:lang w:val="fr-FR"/>
              </w:rPr>
              <w:t>Sans doute</w:t>
            </w:r>
          </w:p>
        </w:tc>
        <w:tc>
          <w:tcPr>
            <w:tcW w:w="1798" w:type="dxa"/>
            <w:tcBorders>
              <w:right w:val="single" w:sz="24" w:space="0" w:color="auto"/>
            </w:tcBorders>
            <w:vAlign w:val="center"/>
          </w:tcPr>
          <w:p w14:paraId="33DFFFAC" w14:textId="363E5EDA" w:rsidR="00D21FA7" w:rsidRDefault="007870A7" w:rsidP="00880ED7">
            <w:pPr>
              <w:jc w:val="center"/>
            </w:pPr>
            <w:r>
              <w:t>Partial agreement</w:t>
            </w:r>
          </w:p>
        </w:tc>
        <w:tc>
          <w:tcPr>
            <w:tcW w:w="1799" w:type="dxa"/>
            <w:tcBorders>
              <w:left w:val="single" w:sz="24" w:space="0" w:color="auto"/>
            </w:tcBorders>
            <w:vAlign w:val="center"/>
          </w:tcPr>
          <w:p w14:paraId="3360383C" w14:textId="02D79C85" w:rsidR="00D21FA7" w:rsidRPr="009710DF" w:rsidRDefault="009710DF" w:rsidP="00880ED7">
            <w:pPr>
              <w:jc w:val="center"/>
              <w:rPr>
                <w:lang w:val="es-AR"/>
              </w:rPr>
            </w:pPr>
            <w:r w:rsidRPr="009710DF">
              <w:rPr>
                <w:lang w:val="es-AR"/>
              </w:rPr>
              <w:t>De pronto…</w:t>
            </w:r>
          </w:p>
        </w:tc>
        <w:tc>
          <w:tcPr>
            <w:tcW w:w="1799" w:type="dxa"/>
            <w:tcBorders>
              <w:right w:val="single" w:sz="24" w:space="0" w:color="auto"/>
            </w:tcBorders>
            <w:vAlign w:val="center"/>
          </w:tcPr>
          <w:p w14:paraId="0D5A2BF8" w14:textId="0BB492E1" w:rsidR="00D21FA7" w:rsidRDefault="009710DF" w:rsidP="00880ED7">
            <w:pPr>
              <w:jc w:val="center"/>
            </w:pPr>
            <w:r>
              <w:t>Maybe…</w:t>
            </w:r>
          </w:p>
        </w:tc>
      </w:tr>
      <w:tr w:rsidR="009710DF" w14:paraId="3DBEF6DD" w14:textId="77777777" w:rsidTr="00880ED7">
        <w:tc>
          <w:tcPr>
            <w:tcW w:w="1798" w:type="dxa"/>
            <w:tcBorders>
              <w:left w:val="single" w:sz="24" w:space="0" w:color="auto"/>
            </w:tcBorders>
            <w:vAlign w:val="center"/>
          </w:tcPr>
          <w:p w14:paraId="3D0EC659" w14:textId="384F911F" w:rsidR="00880ED7" w:rsidRDefault="00880ED7" w:rsidP="00880ED7">
            <w:pPr>
              <w:jc w:val="center"/>
              <w:rPr>
                <w:rFonts w:ascii="SimSun" w:hAnsi="SimSun"/>
                <w:lang w:eastAsia="zh-CN"/>
              </w:rPr>
            </w:pPr>
            <w:r>
              <w:rPr>
                <w:rFonts w:ascii="SimSun" w:hAnsi="SimSun" w:hint="eastAsia"/>
                <w:lang w:eastAsia="zh-CN"/>
              </w:rPr>
              <w:t>那……</w:t>
            </w:r>
            <w:r>
              <w:rPr>
                <w:rFonts w:hint="eastAsia"/>
                <w:lang w:eastAsia="zh-CN"/>
              </w:rPr>
              <w:t xml:space="preserve"> --n</w:t>
            </w:r>
            <w:r>
              <w:rPr>
                <w:rFonts w:hint="eastAsia"/>
                <w:lang w:eastAsia="zh-CN"/>
              </w:rPr>
              <w:t>à…</w:t>
            </w:r>
          </w:p>
        </w:tc>
        <w:tc>
          <w:tcPr>
            <w:tcW w:w="1798" w:type="dxa"/>
            <w:tcBorders>
              <w:right w:val="single" w:sz="24" w:space="0" w:color="auto"/>
            </w:tcBorders>
            <w:vAlign w:val="center"/>
          </w:tcPr>
          <w:p w14:paraId="7ADC25A9" w14:textId="491373D3" w:rsidR="00880ED7" w:rsidRDefault="00880ED7" w:rsidP="00880ED7">
            <w:pPr>
              <w:jc w:val="center"/>
            </w:pPr>
            <w:r>
              <w:t>(hold the vowel out as long as one wants, nààààà): well then…</w:t>
            </w:r>
          </w:p>
        </w:tc>
        <w:tc>
          <w:tcPr>
            <w:tcW w:w="1798" w:type="dxa"/>
            <w:tcBorders>
              <w:left w:val="single" w:sz="24" w:space="0" w:color="auto"/>
            </w:tcBorders>
            <w:vAlign w:val="center"/>
          </w:tcPr>
          <w:p w14:paraId="6A9DC2B9" w14:textId="045E60CE" w:rsidR="00880ED7" w:rsidRPr="00A046CD" w:rsidRDefault="00A046CD" w:rsidP="00880ED7">
            <w:pPr>
              <w:jc w:val="center"/>
              <w:rPr>
                <w:lang w:val="fr-FR"/>
              </w:rPr>
            </w:pPr>
            <w:r>
              <w:rPr>
                <w:lang w:val="fr-FR"/>
              </w:rPr>
              <w:t>C’est sûr !</w:t>
            </w:r>
          </w:p>
        </w:tc>
        <w:tc>
          <w:tcPr>
            <w:tcW w:w="1798" w:type="dxa"/>
            <w:tcBorders>
              <w:right w:val="single" w:sz="24" w:space="0" w:color="auto"/>
            </w:tcBorders>
            <w:vAlign w:val="center"/>
          </w:tcPr>
          <w:p w14:paraId="414416A3" w14:textId="5D86108C" w:rsidR="00880ED7" w:rsidRDefault="007870A7" w:rsidP="00880ED7">
            <w:pPr>
              <w:jc w:val="center"/>
            </w:pPr>
            <w:r>
              <w:t>Total Agreement</w:t>
            </w:r>
          </w:p>
        </w:tc>
        <w:tc>
          <w:tcPr>
            <w:tcW w:w="1799" w:type="dxa"/>
            <w:tcBorders>
              <w:left w:val="single" w:sz="24" w:space="0" w:color="auto"/>
            </w:tcBorders>
            <w:vAlign w:val="center"/>
          </w:tcPr>
          <w:p w14:paraId="6C25467A" w14:textId="0B977361" w:rsidR="00880ED7" w:rsidRPr="009710DF" w:rsidRDefault="009710DF" w:rsidP="00880ED7">
            <w:pPr>
              <w:jc w:val="center"/>
              <w:rPr>
                <w:lang w:val="es-AR"/>
              </w:rPr>
            </w:pPr>
            <w:r w:rsidRPr="009710DF">
              <w:rPr>
                <w:lang w:val="es-AR"/>
              </w:rPr>
              <w:t>Tal vez.</w:t>
            </w:r>
          </w:p>
        </w:tc>
        <w:tc>
          <w:tcPr>
            <w:tcW w:w="1799" w:type="dxa"/>
            <w:tcBorders>
              <w:right w:val="single" w:sz="24" w:space="0" w:color="auto"/>
            </w:tcBorders>
            <w:vAlign w:val="center"/>
          </w:tcPr>
          <w:p w14:paraId="6D0D994C" w14:textId="5351EA60" w:rsidR="00880ED7" w:rsidRDefault="009710DF" w:rsidP="009710DF">
            <w:pPr>
              <w:jc w:val="center"/>
            </w:pPr>
            <w:r>
              <w:t>Perhaps… (Doubt)</w:t>
            </w:r>
          </w:p>
        </w:tc>
      </w:tr>
      <w:tr w:rsidR="009710DF" w14:paraId="5F7859D8" w14:textId="77777777" w:rsidTr="00880ED7">
        <w:tc>
          <w:tcPr>
            <w:tcW w:w="1798" w:type="dxa"/>
            <w:tcBorders>
              <w:left w:val="single" w:sz="24" w:space="0" w:color="auto"/>
            </w:tcBorders>
            <w:vAlign w:val="center"/>
          </w:tcPr>
          <w:p w14:paraId="38265FC2" w14:textId="271BAE34" w:rsidR="00880ED7" w:rsidRDefault="00880ED7" w:rsidP="00880ED7">
            <w:pPr>
              <w:jc w:val="center"/>
              <w:rPr>
                <w:rFonts w:ascii="SimSun" w:hAnsi="SimSun"/>
                <w:lang w:eastAsia="zh-CN"/>
              </w:rPr>
            </w:pPr>
            <w:r>
              <w:rPr>
                <w:rFonts w:ascii="Microsoft JhengHei" w:eastAsia="Microsoft JhengHei" w:hAnsi="Microsoft JhengHei" w:cs="Microsoft JhengHei" w:hint="eastAsia"/>
                <w:lang w:eastAsia="zh-CN"/>
              </w:rPr>
              <w:t>对对对</w:t>
            </w:r>
            <w:r>
              <w:rPr>
                <w:rFonts w:hint="eastAsia"/>
                <w:lang w:eastAsia="zh-CN"/>
              </w:rPr>
              <w:t xml:space="preserve"> -- du</w:t>
            </w:r>
            <w:r>
              <w:rPr>
                <w:rFonts w:hint="eastAsia"/>
                <w:lang w:eastAsia="zh-CN"/>
              </w:rPr>
              <w:t>ì</w:t>
            </w:r>
            <w:r>
              <w:rPr>
                <w:rFonts w:hint="eastAsia"/>
                <w:lang w:eastAsia="zh-CN"/>
              </w:rPr>
              <w:t xml:space="preserve"> du</w:t>
            </w:r>
            <w:r>
              <w:rPr>
                <w:rFonts w:hint="eastAsia"/>
                <w:lang w:eastAsia="zh-CN"/>
              </w:rPr>
              <w:t>ì</w:t>
            </w:r>
            <w:r>
              <w:rPr>
                <w:rFonts w:hint="eastAsia"/>
                <w:lang w:eastAsia="zh-CN"/>
              </w:rPr>
              <w:t xml:space="preserve"> du</w:t>
            </w:r>
            <w:r>
              <w:rPr>
                <w:rFonts w:hint="eastAsia"/>
                <w:lang w:eastAsia="zh-CN"/>
              </w:rPr>
              <w:t>ì</w:t>
            </w:r>
          </w:p>
        </w:tc>
        <w:tc>
          <w:tcPr>
            <w:tcW w:w="1798" w:type="dxa"/>
            <w:tcBorders>
              <w:right w:val="single" w:sz="24" w:space="0" w:color="auto"/>
            </w:tcBorders>
            <w:vAlign w:val="center"/>
          </w:tcPr>
          <w:p w14:paraId="33345D30" w14:textId="3ADEC842" w:rsidR="00880ED7" w:rsidRDefault="00880ED7" w:rsidP="00880ED7">
            <w:pPr>
              <w:jc w:val="center"/>
            </w:pPr>
            <w:r>
              <w:t>Right, right, right</w:t>
            </w:r>
          </w:p>
        </w:tc>
        <w:tc>
          <w:tcPr>
            <w:tcW w:w="1798" w:type="dxa"/>
            <w:tcBorders>
              <w:left w:val="single" w:sz="24" w:space="0" w:color="auto"/>
            </w:tcBorders>
            <w:vAlign w:val="center"/>
          </w:tcPr>
          <w:p w14:paraId="7AE7BE65" w14:textId="44DE6649" w:rsidR="00880ED7" w:rsidRPr="00A046CD" w:rsidRDefault="007870A7" w:rsidP="00880ED7">
            <w:pPr>
              <w:jc w:val="center"/>
              <w:rPr>
                <w:lang w:val="fr-FR"/>
              </w:rPr>
            </w:pPr>
            <w:r w:rsidRPr="00A046CD">
              <w:rPr>
                <w:lang w:val="fr-FR"/>
              </w:rPr>
              <w:t>C’est sans intérêt</w:t>
            </w:r>
          </w:p>
        </w:tc>
        <w:tc>
          <w:tcPr>
            <w:tcW w:w="1798" w:type="dxa"/>
            <w:tcBorders>
              <w:right w:val="single" w:sz="24" w:space="0" w:color="auto"/>
            </w:tcBorders>
            <w:vAlign w:val="center"/>
          </w:tcPr>
          <w:p w14:paraId="27801F3B" w14:textId="669047C3" w:rsidR="00880ED7" w:rsidRDefault="00A046CD" w:rsidP="00880ED7">
            <w:pPr>
              <w:jc w:val="center"/>
            </w:pPr>
            <w:r>
              <w:t>Not worth doing or talking about</w:t>
            </w:r>
          </w:p>
        </w:tc>
        <w:tc>
          <w:tcPr>
            <w:tcW w:w="1799" w:type="dxa"/>
            <w:tcBorders>
              <w:left w:val="single" w:sz="24" w:space="0" w:color="auto"/>
            </w:tcBorders>
            <w:vAlign w:val="center"/>
          </w:tcPr>
          <w:p w14:paraId="793ADBB1" w14:textId="713802D9" w:rsidR="00880ED7" w:rsidRPr="009710DF" w:rsidRDefault="009710DF" w:rsidP="00880ED7">
            <w:pPr>
              <w:jc w:val="center"/>
              <w:rPr>
                <w:lang w:val="es-AR"/>
              </w:rPr>
            </w:pPr>
            <w:r>
              <w:rPr>
                <w:lang w:val="es-AR"/>
              </w:rPr>
              <w:t>¡</w:t>
            </w:r>
            <w:r w:rsidRPr="009710DF">
              <w:rPr>
                <w:lang w:val="es-AR"/>
              </w:rPr>
              <w:t>No me digas</w:t>
            </w:r>
            <w:r>
              <w:rPr>
                <w:lang w:val="es-AR"/>
              </w:rPr>
              <w:t>!</w:t>
            </w:r>
          </w:p>
        </w:tc>
        <w:tc>
          <w:tcPr>
            <w:tcW w:w="1799" w:type="dxa"/>
            <w:tcBorders>
              <w:right w:val="single" w:sz="24" w:space="0" w:color="auto"/>
            </w:tcBorders>
            <w:vAlign w:val="center"/>
          </w:tcPr>
          <w:p w14:paraId="620B1D85" w14:textId="458E1DEC" w:rsidR="00880ED7" w:rsidRDefault="009710DF" w:rsidP="00880ED7">
            <w:pPr>
              <w:jc w:val="center"/>
            </w:pPr>
            <w:r>
              <w:t>(Surprise)</w:t>
            </w:r>
          </w:p>
        </w:tc>
      </w:tr>
      <w:tr w:rsidR="00880ED7" w14:paraId="114AB662" w14:textId="77777777" w:rsidTr="00880ED7">
        <w:tc>
          <w:tcPr>
            <w:tcW w:w="1798" w:type="dxa"/>
            <w:tcBorders>
              <w:left w:val="single" w:sz="24" w:space="0" w:color="auto"/>
              <w:bottom w:val="single" w:sz="24" w:space="0" w:color="auto"/>
            </w:tcBorders>
            <w:vAlign w:val="center"/>
          </w:tcPr>
          <w:p w14:paraId="3A24CC21" w14:textId="199CFDA3" w:rsidR="00880ED7" w:rsidRDefault="00880ED7" w:rsidP="00880ED7">
            <w:pPr>
              <w:jc w:val="center"/>
              <w:rPr>
                <w:rFonts w:ascii="Microsoft JhengHei" w:eastAsia="Microsoft JhengHei" w:hAnsi="Microsoft JhengHei" w:cs="Microsoft JhengHei"/>
                <w:lang w:eastAsia="zh-CN"/>
              </w:rPr>
            </w:pPr>
            <w:r>
              <w:rPr>
                <w:rFonts w:ascii="Microsoft JhengHei" w:eastAsia="Microsoft JhengHei" w:hAnsi="Microsoft JhengHei" w:cs="Microsoft JhengHei" w:hint="eastAsia"/>
                <w:lang w:eastAsia="zh-CN"/>
              </w:rPr>
              <w:t>嗯</w:t>
            </w:r>
            <w:r>
              <w:rPr>
                <w:rFonts w:hint="eastAsia"/>
                <w:lang w:eastAsia="zh-CN"/>
              </w:rPr>
              <w:t xml:space="preserve"> -- ng4</w:t>
            </w:r>
          </w:p>
        </w:tc>
        <w:tc>
          <w:tcPr>
            <w:tcW w:w="1798" w:type="dxa"/>
            <w:tcBorders>
              <w:bottom w:val="single" w:sz="24" w:space="0" w:color="auto"/>
              <w:right w:val="single" w:sz="24" w:space="0" w:color="auto"/>
            </w:tcBorders>
            <w:vAlign w:val="center"/>
          </w:tcPr>
          <w:p w14:paraId="30B7D552" w14:textId="4ECF499C" w:rsidR="00880ED7" w:rsidRDefault="00880ED7" w:rsidP="00880ED7">
            <w:pPr>
              <w:jc w:val="center"/>
            </w:pPr>
            <w:r>
              <w:t>yes (I heard what you just said)</w:t>
            </w:r>
          </w:p>
        </w:tc>
        <w:tc>
          <w:tcPr>
            <w:tcW w:w="1798" w:type="dxa"/>
            <w:tcBorders>
              <w:left w:val="single" w:sz="24" w:space="0" w:color="auto"/>
              <w:bottom w:val="single" w:sz="24" w:space="0" w:color="auto"/>
            </w:tcBorders>
            <w:vAlign w:val="center"/>
          </w:tcPr>
          <w:p w14:paraId="177F81A2" w14:textId="31FADBFE" w:rsidR="00880ED7" w:rsidRPr="00A046CD" w:rsidRDefault="00A046CD" w:rsidP="00880ED7">
            <w:pPr>
              <w:jc w:val="center"/>
              <w:rPr>
                <w:lang w:val="fr-FR"/>
              </w:rPr>
            </w:pPr>
            <w:r>
              <w:rPr>
                <w:lang w:val="fr-FR"/>
              </w:rPr>
              <w:t>C’est superbe !</w:t>
            </w:r>
          </w:p>
        </w:tc>
        <w:tc>
          <w:tcPr>
            <w:tcW w:w="1798" w:type="dxa"/>
            <w:tcBorders>
              <w:bottom w:val="single" w:sz="24" w:space="0" w:color="auto"/>
              <w:right w:val="single" w:sz="24" w:space="0" w:color="auto"/>
            </w:tcBorders>
            <w:vAlign w:val="center"/>
          </w:tcPr>
          <w:p w14:paraId="119CEB56" w14:textId="1F55DD06" w:rsidR="00880ED7" w:rsidRDefault="00A046CD" w:rsidP="00880ED7">
            <w:pPr>
              <w:jc w:val="center"/>
            </w:pPr>
            <w:r>
              <w:t>It’s great!</w:t>
            </w:r>
          </w:p>
        </w:tc>
        <w:tc>
          <w:tcPr>
            <w:tcW w:w="1799" w:type="dxa"/>
            <w:tcBorders>
              <w:left w:val="single" w:sz="24" w:space="0" w:color="auto"/>
              <w:bottom w:val="single" w:sz="24" w:space="0" w:color="auto"/>
            </w:tcBorders>
            <w:vAlign w:val="center"/>
          </w:tcPr>
          <w:p w14:paraId="4BFD00A8" w14:textId="1C9893D8" w:rsidR="00880ED7" w:rsidRPr="009710DF" w:rsidRDefault="009710DF" w:rsidP="00880ED7">
            <w:pPr>
              <w:jc w:val="center"/>
              <w:rPr>
                <w:lang w:val="es-AR"/>
              </w:rPr>
            </w:pPr>
            <w:r>
              <w:rPr>
                <w:lang w:val="es-AR"/>
              </w:rPr>
              <w:t>¡Seguro!</w:t>
            </w:r>
          </w:p>
        </w:tc>
        <w:tc>
          <w:tcPr>
            <w:tcW w:w="1799" w:type="dxa"/>
            <w:tcBorders>
              <w:bottom w:val="single" w:sz="24" w:space="0" w:color="auto"/>
              <w:right w:val="single" w:sz="24" w:space="0" w:color="auto"/>
            </w:tcBorders>
            <w:vAlign w:val="center"/>
          </w:tcPr>
          <w:p w14:paraId="440F12A2" w14:textId="1CD0AEDC" w:rsidR="00880ED7" w:rsidRDefault="009710DF" w:rsidP="00880ED7">
            <w:pPr>
              <w:jc w:val="center"/>
            </w:pPr>
            <w:r>
              <w:t>For sure</w:t>
            </w:r>
          </w:p>
        </w:tc>
      </w:tr>
    </w:tbl>
    <w:p w14:paraId="5A25CCB0" w14:textId="77777777" w:rsidR="00D21FA7" w:rsidRPr="00D21FA7" w:rsidRDefault="00D21FA7" w:rsidP="00D21FA7"/>
    <w:p w14:paraId="45DBF7AC" w14:textId="335BA8E3" w:rsidR="00D21FA7" w:rsidRDefault="00D21FA7" w:rsidP="00D21FA7">
      <w:pPr>
        <w:pStyle w:val="Heading2"/>
      </w:pPr>
      <w:r>
        <w:t>A Call to Respond</w:t>
      </w:r>
    </w:p>
    <w:p w14:paraId="4B8473CF" w14:textId="58A97384" w:rsidR="00D21FA7" w:rsidRDefault="00D21FA7" w:rsidP="00D21FA7">
      <w:r>
        <w:t>WAFLT members will have many other ideas of expressions and ways to teach them.</w:t>
      </w:r>
      <w:r w:rsidR="00FE219A">
        <w:t xml:space="preserve"> Teachers of Japanese, German, Vietnamese, Salish and other languages are invited to offer their thoughts to </w:t>
      </w:r>
      <w:hyperlink r:id="rId14" w:history="1">
        <w:r w:rsidR="009710DF" w:rsidRPr="000622A6">
          <w:rPr>
            <w:rStyle w:val="Hyperlink"/>
          </w:rPr>
          <w:t>granvillep@bsd405.org</w:t>
        </w:r>
      </w:hyperlink>
      <w:r w:rsidR="009710DF">
        <w:t xml:space="preserve"> </w:t>
      </w:r>
      <w:r w:rsidR="00FE219A">
        <w:t xml:space="preserve">. </w:t>
      </w:r>
      <w:r>
        <w:t xml:space="preserve">We </w:t>
      </w:r>
      <w:r w:rsidR="00FE219A">
        <w:t xml:space="preserve">also </w:t>
      </w:r>
      <w:r>
        <w:t>invit</w:t>
      </w:r>
      <w:r w:rsidR="00FE219A">
        <w:t>e you</w:t>
      </w:r>
      <w:r>
        <w:t xml:space="preserve"> to tweet @WAFLT #SoudlikeaNative. At the fall conference in Wenatchee, we can share ideas.</w:t>
      </w:r>
    </w:p>
    <w:p w14:paraId="0CD0E5E6" w14:textId="6CAB5C8A" w:rsidR="009710DF" w:rsidRDefault="009710DF" w:rsidP="009710DF">
      <w:pPr>
        <w:pStyle w:val="ListParagraph"/>
        <w:numPr>
          <w:ilvl w:val="0"/>
          <w:numId w:val="5"/>
        </w:numPr>
      </w:pPr>
      <w:r>
        <w:t>What expressions will help your students sound more natural and keep the conversation in the target language?</w:t>
      </w:r>
    </w:p>
    <w:p w14:paraId="2B942064" w14:textId="66824CA0" w:rsidR="009710DF" w:rsidRDefault="009710DF" w:rsidP="009710DF">
      <w:pPr>
        <w:pStyle w:val="ListParagraph"/>
        <w:numPr>
          <w:ilvl w:val="0"/>
          <w:numId w:val="5"/>
        </w:numPr>
      </w:pPr>
      <w:r>
        <w:t>How would you teach them?</w:t>
      </w:r>
    </w:p>
    <w:p w14:paraId="1D632345" w14:textId="5B0F5D2A" w:rsidR="00757038" w:rsidRDefault="009710DF" w:rsidP="00757038">
      <w:pPr>
        <w:pStyle w:val="ListParagraph"/>
        <w:numPr>
          <w:ilvl w:val="0"/>
          <w:numId w:val="5"/>
        </w:numPr>
      </w:pPr>
      <w:r>
        <w:t>What do these expressions say out the underlying cultural perspectives?</w:t>
      </w:r>
    </w:p>
    <w:p w14:paraId="573EEE24" w14:textId="41F51121" w:rsidR="00BC03F4" w:rsidRDefault="00BC03F4" w:rsidP="00BC03F4">
      <w:pPr>
        <w:pStyle w:val="Heading2"/>
      </w:pPr>
      <w:r>
        <w:t>Bibliography</w:t>
      </w:r>
    </w:p>
    <w:p w14:paraId="4F9D1765" w14:textId="72D7CAA0" w:rsidR="00BC03F4" w:rsidRPr="00BC03F4" w:rsidRDefault="00BC03F4">
      <w:pPr>
        <w:pStyle w:val="NormalWeb"/>
        <w:ind w:left="480" w:hanging="480"/>
        <w:divId w:val="1848862847"/>
        <w:rPr>
          <w:rFonts w:ascii="Franklin Gothic Book" w:hAnsi="Franklin Gothic Book"/>
          <w:noProof/>
          <w:sz w:val="16"/>
        </w:rPr>
      </w:pPr>
      <w:r>
        <w:fldChar w:fldCharType="begin" w:fldLock="1"/>
      </w:r>
      <w:r>
        <w:instrText xml:space="preserve">ADDIN Mendeley Bibliography CSL_BIBLIOGRAPHY </w:instrText>
      </w:r>
      <w:r>
        <w:fldChar w:fldCharType="separate"/>
      </w:r>
      <w:r w:rsidRPr="00BC03F4">
        <w:rPr>
          <w:rFonts w:ascii="Franklin Gothic Book" w:hAnsi="Franklin Gothic Book"/>
          <w:noProof/>
          <w:sz w:val="16"/>
        </w:rPr>
        <w:t>Actfl. (2014). World-Readiness Standards for Learning Languages World-Readiness Standards for Learning Languages, 2. Retrieved from http://www.actfl.org/publications/all/world-readiness-standards-learning-languages</w:t>
      </w:r>
    </w:p>
    <w:p w14:paraId="58974B17" w14:textId="77777777" w:rsidR="00BC03F4" w:rsidRPr="00BC03F4" w:rsidRDefault="00BC03F4">
      <w:pPr>
        <w:pStyle w:val="NormalWeb"/>
        <w:ind w:left="480" w:hanging="480"/>
        <w:divId w:val="1848862847"/>
        <w:rPr>
          <w:rFonts w:ascii="Franklin Gothic Book" w:hAnsi="Franklin Gothic Book"/>
          <w:noProof/>
          <w:sz w:val="16"/>
        </w:rPr>
      </w:pPr>
      <w:r w:rsidRPr="00BC03F4">
        <w:rPr>
          <w:rFonts w:ascii="Franklin Gothic Book" w:hAnsi="Franklin Gothic Book"/>
          <w:noProof/>
          <w:sz w:val="16"/>
        </w:rPr>
        <w:t>Batzarov, Z. (n.d.). Spanish language: Interjections. Retrieved June 29, 2015, from http://www.orbilat.com/Languages/Spanish/Grammar/Spanish-Interjections.html</w:t>
      </w:r>
    </w:p>
    <w:p w14:paraId="3F28A38C" w14:textId="77777777" w:rsidR="00BC03F4" w:rsidRPr="00BC03F4" w:rsidRDefault="00BC03F4">
      <w:pPr>
        <w:pStyle w:val="NormalWeb"/>
        <w:ind w:left="480" w:hanging="480"/>
        <w:divId w:val="1848862847"/>
        <w:rPr>
          <w:rFonts w:ascii="Franklin Gothic Book" w:hAnsi="Franklin Gothic Book"/>
          <w:noProof/>
          <w:sz w:val="16"/>
        </w:rPr>
      </w:pPr>
      <w:r w:rsidRPr="00BC03F4">
        <w:rPr>
          <w:rFonts w:ascii="Franklin Gothic Book" w:hAnsi="Franklin Gothic Book"/>
          <w:noProof/>
          <w:sz w:val="16"/>
        </w:rPr>
        <w:t>DeGirolami, M. (2009). PrawfsBlawg: “It is what it is”: Anatomy of an idiom. Retrieved June 29, 2015, from http://prawfsblawg.blogs.com/prawfsblawg/2009/05/as-ive-begun-to-go-to-conferences-and-learn-what-legal-academic-life-is-all-about-ive-come-also-to-appreciatesome-of-the-man.html</w:t>
      </w:r>
    </w:p>
    <w:p w14:paraId="151704CF" w14:textId="77777777" w:rsidR="00BC03F4" w:rsidRPr="00BC03F4" w:rsidRDefault="00BC03F4">
      <w:pPr>
        <w:pStyle w:val="NormalWeb"/>
        <w:ind w:left="480" w:hanging="480"/>
        <w:divId w:val="1848862847"/>
        <w:rPr>
          <w:rFonts w:ascii="Franklin Gothic Book" w:hAnsi="Franklin Gothic Book"/>
          <w:noProof/>
          <w:sz w:val="16"/>
        </w:rPr>
      </w:pPr>
      <w:r w:rsidRPr="00BC03F4">
        <w:rPr>
          <w:rFonts w:ascii="Franklin Gothic Book" w:hAnsi="Franklin Gothic Book"/>
          <w:noProof/>
          <w:sz w:val="16"/>
        </w:rPr>
        <w:t>Jaspal, R. (2009). Language and social identity: a psychosocial approach | Rusi Jaspal - Academia.edu. Retrieved June 29, 2015, from http://www.academia.edu/200226/Language_and_social_identity_a_psychosocial_approach</w:t>
      </w:r>
    </w:p>
    <w:p w14:paraId="2F202F99" w14:textId="77777777" w:rsidR="00BC03F4" w:rsidRPr="00BC03F4" w:rsidRDefault="00BC03F4">
      <w:pPr>
        <w:pStyle w:val="NormalWeb"/>
        <w:ind w:left="480" w:hanging="480"/>
        <w:divId w:val="1848862847"/>
        <w:rPr>
          <w:rFonts w:ascii="Franklin Gothic Book" w:hAnsi="Franklin Gothic Book"/>
          <w:noProof/>
          <w:sz w:val="16"/>
        </w:rPr>
      </w:pPr>
      <w:r w:rsidRPr="00BC03F4">
        <w:rPr>
          <w:rFonts w:ascii="Franklin Gothic Book" w:hAnsi="Franklin Gothic Book"/>
          <w:noProof/>
          <w:sz w:val="16"/>
        </w:rPr>
        <w:t>Lau, J. (2015). Mandarin Chinese Parts of Speech: (</w:t>
      </w:r>
      <w:r w:rsidRPr="00BC03F4">
        <w:rPr>
          <w:rFonts w:ascii="Franklin Gothic Book" w:eastAsia="Microsoft JhengHei" w:hAnsi="Franklin Gothic Book" w:cs="Microsoft JhengHei" w:hint="eastAsia"/>
          <w:noProof/>
          <w:sz w:val="16"/>
        </w:rPr>
        <w:t>叹</w:t>
      </w:r>
      <w:r w:rsidRPr="00BC03F4">
        <w:rPr>
          <w:rFonts w:ascii="Franklin Gothic Book" w:hAnsi="Franklin Gothic Book"/>
          <w:noProof/>
          <w:sz w:val="16"/>
        </w:rPr>
        <w:t>) interjection. Retrieved June 29, 2015, from http://www.yellowbridge.com/chinese/partsearch.php?part=interj</w:t>
      </w:r>
    </w:p>
    <w:p w14:paraId="00CED57B" w14:textId="77777777" w:rsidR="00BC03F4" w:rsidRPr="00BC03F4" w:rsidRDefault="00BC03F4">
      <w:pPr>
        <w:pStyle w:val="NormalWeb"/>
        <w:ind w:left="480" w:hanging="480"/>
        <w:divId w:val="1848862847"/>
        <w:rPr>
          <w:rFonts w:ascii="Franklin Gothic Book" w:hAnsi="Franklin Gothic Book"/>
          <w:noProof/>
          <w:sz w:val="16"/>
        </w:rPr>
      </w:pPr>
      <w:r w:rsidRPr="00BC03F4">
        <w:rPr>
          <w:rFonts w:ascii="Franklin Gothic Book" w:hAnsi="Franklin Gothic Book"/>
          <w:noProof/>
          <w:sz w:val="16"/>
        </w:rPr>
        <w:t>Martin, L. J. (2013). It Is What It Is | Thought Catalog. Retrieved June 29, 2015, from http://thoughtcatalog.com/laura-jayne-martin/2013/06/it-is-what-it-is/</w:t>
      </w:r>
    </w:p>
    <w:p w14:paraId="19E07B72" w14:textId="77777777" w:rsidR="00BC03F4" w:rsidRPr="00BC03F4" w:rsidRDefault="00BC03F4">
      <w:pPr>
        <w:pStyle w:val="NormalWeb"/>
        <w:ind w:left="480" w:hanging="480"/>
        <w:divId w:val="1848862847"/>
        <w:rPr>
          <w:rFonts w:ascii="Franklin Gothic Book" w:hAnsi="Franklin Gothic Book"/>
          <w:noProof/>
          <w:sz w:val="16"/>
        </w:rPr>
      </w:pPr>
      <w:r w:rsidRPr="00BC03F4">
        <w:rPr>
          <w:rFonts w:ascii="Franklin Gothic Book" w:hAnsi="Franklin Gothic Book"/>
          <w:noProof/>
          <w:sz w:val="16"/>
        </w:rPr>
        <w:t>Strasbourg, U. de. (n.d.). Français langue étrangère. Retrieved June 29, 2015, from http://fle.u-strasbg.fr/webl/wflebao/chap03.htm</w:t>
      </w:r>
    </w:p>
    <w:p w14:paraId="53EC7AE3" w14:textId="77777777" w:rsidR="00BC03F4" w:rsidRPr="00BC03F4" w:rsidRDefault="00BC03F4">
      <w:pPr>
        <w:pStyle w:val="NormalWeb"/>
        <w:ind w:left="480" w:hanging="480"/>
        <w:divId w:val="1848862847"/>
        <w:rPr>
          <w:rFonts w:ascii="Franklin Gothic Book" w:hAnsi="Franklin Gothic Book"/>
          <w:noProof/>
          <w:sz w:val="16"/>
        </w:rPr>
      </w:pPr>
      <w:r w:rsidRPr="00BC03F4">
        <w:rPr>
          <w:rFonts w:ascii="Franklin Gothic Book" w:hAnsi="Franklin Gothic Book"/>
          <w:noProof/>
          <w:sz w:val="16"/>
        </w:rPr>
        <w:t>Urban Dictionary: grock. (2003). Retrieved June 29, 2015, from http://www.urbandictionary.com/define.php?term=grock</w:t>
      </w:r>
    </w:p>
    <w:p w14:paraId="44B4D3DF" w14:textId="5B854972" w:rsidR="00BC03F4" w:rsidRPr="00BC03F4" w:rsidRDefault="00BC03F4" w:rsidP="00BC03F4">
      <w:pPr>
        <w:rPr>
          <w:sz w:val="4"/>
          <w:szCs w:val="4"/>
        </w:rPr>
      </w:pPr>
      <w:r>
        <w:fldChar w:fldCharType="end"/>
      </w:r>
    </w:p>
    <w:sectPr w:rsidR="00BC03F4" w:rsidRPr="00BC03F4" w:rsidSect="00BC03F4">
      <w:footerReference w:type="default" r:id="rId15"/>
      <w:pgSz w:w="12240" w:h="15840"/>
      <w:pgMar w:top="720" w:right="720" w:bottom="720" w:left="720" w:header="720" w:footer="610" w:gutter="0"/>
      <w:cols w:space="720"/>
      <w:docGrid w:linePitch="2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65B49" w14:textId="77777777" w:rsidR="001078F0" w:rsidRDefault="001078F0" w:rsidP="00BC03F4">
      <w:pPr>
        <w:spacing w:after="0" w:line="240" w:lineRule="auto"/>
      </w:pPr>
      <w:r>
        <w:separator/>
      </w:r>
    </w:p>
  </w:endnote>
  <w:endnote w:type="continuationSeparator" w:id="0">
    <w:p w14:paraId="0D6BBF07" w14:textId="77777777" w:rsidR="001078F0" w:rsidRDefault="001078F0" w:rsidP="00BC0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Yu Gothic UI"/>
    <w:panose1 w:val="020B0604030504040204"/>
    <w:charset w:val="80"/>
    <w:family w:val="swiss"/>
    <w:pitch w:val="variable"/>
    <w:sig w:usb0="E00002FF" w:usb1="6AC7FFFF"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2160706"/>
      <w:docPartObj>
        <w:docPartGallery w:val="Page Numbers (Bottom of Page)"/>
        <w:docPartUnique/>
      </w:docPartObj>
    </w:sdtPr>
    <w:sdtEndPr>
      <w:rPr>
        <w:noProof/>
      </w:rPr>
    </w:sdtEndPr>
    <w:sdtContent>
      <w:p w14:paraId="171EB1D6" w14:textId="3CF8AD6F" w:rsidR="00BC03F4" w:rsidRDefault="00BC03F4">
        <w:pPr>
          <w:pStyle w:val="Footer"/>
          <w:jc w:val="center"/>
        </w:pPr>
        <w:r>
          <w:fldChar w:fldCharType="begin"/>
        </w:r>
        <w:r>
          <w:instrText xml:space="preserve"> PAGE   \* MERGEFORMAT </w:instrText>
        </w:r>
        <w:r>
          <w:fldChar w:fldCharType="separate"/>
        </w:r>
        <w:r w:rsidR="001078F0">
          <w:rPr>
            <w:noProof/>
          </w:rPr>
          <w:t>1</w:t>
        </w:r>
        <w:r>
          <w:rPr>
            <w:noProof/>
          </w:rPr>
          <w:fldChar w:fldCharType="end"/>
        </w:r>
      </w:p>
    </w:sdtContent>
  </w:sdt>
  <w:p w14:paraId="71167103" w14:textId="77777777" w:rsidR="00BC03F4" w:rsidRDefault="00BC03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007CE" w14:textId="77777777" w:rsidR="001078F0" w:rsidRDefault="001078F0" w:rsidP="00BC03F4">
      <w:pPr>
        <w:spacing w:after="0" w:line="240" w:lineRule="auto"/>
      </w:pPr>
      <w:r>
        <w:separator/>
      </w:r>
    </w:p>
  </w:footnote>
  <w:footnote w:type="continuationSeparator" w:id="0">
    <w:p w14:paraId="38C9FDB9" w14:textId="77777777" w:rsidR="001078F0" w:rsidRDefault="001078F0" w:rsidP="00BC03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346D68"/>
    <w:multiLevelType w:val="hybridMultilevel"/>
    <w:tmpl w:val="F4843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0F1DD8"/>
    <w:multiLevelType w:val="hybridMultilevel"/>
    <w:tmpl w:val="369A3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6D687E"/>
    <w:multiLevelType w:val="hybridMultilevel"/>
    <w:tmpl w:val="CE0E9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733"/>
    <w:rsid w:val="00001848"/>
    <w:rsid w:val="0006030A"/>
    <w:rsid w:val="00076F73"/>
    <w:rsid w:val="000C378C"/>
    <w:rsid w:val="000C66B6"/>
    <w:rsid w:val="000E2F56"/>
    <w:rsid w:val="001078F0"/>
    <w:rsid w:val="00145CE5"/>
    <w:rsid w:val="00157876"/>
    <w:rsid w:val="00176675"/>
    <w:rsid w:val="001C52E9"/>
    <w:rsid w:val="001E3CCE"/>
    <w:rsid w:val="001F346E"/>
    <w:rsid w:val="002201FD"/>
    <w:rsid w:val="002203ED"/>
    <w:rsid w:val="002D15CB"/>
    <w:rsid w:val="002E3C4D"/>
    <w:rsid w:val="002F6BFC"/>
    <w:rsid w:val="0030606D"/>
    <w:rsid w:val="00352578"/>
    <w:rsid w:val="00366B92"/>
    <w:rsid w:val="003E6B29"/>
    <w:rsid w:val="00410E8E"/>
    <w:rsid w:val="00417727"/>
    <w:rsid w:val="00482F29"/>
    <w:rsid w:val="004B2681"/>
    <w:rsid w:val="004D14B5"/>
    <w:rsid w:val="004F6482"/>
    <w:rsid w:val="00560E5B"/>
    <w:rsid w:val="005A00FB"/>
    <w:rsid w:val="005E5683"/>
    <w:rsid w:val="006139D7"/>
    <w:rsid w:val="006459D9"/>
    <w:rsid w:val="00655A1E"/>
    <w:rsid w:val="0066200F"/>
    <w:rsid w:val="006767B6"/>
    <w:rsid w:val="006814EC"/>
    <w:rsid w:val="00681A26"/>
    <w:rsid w:val="006D3B5A"/>
    <w:rsid w:val="006E6162"/>
    <w:rsid w:val="007012CF"/>
    <w:rsid w:val="00707F18"/>
    <w:rsid w:val="00757038"/>
    <w:rsid w:val="007870A7"/>
    <w:rsid w:val="007A58D9"/>
    <w:rsid w:val="007C235E"/>
    <w:rsid w:val="007D66A6"/>
    <w:rsid w:val="00824790"/>
    <w:rsid w:val="008448AB"/>
    <w:rsid w:val="008720D8"/>
    <w:rsid w:val="00880ED7"/>
    <w:rsid w:val="008A72F8"/>
    <w:rsid w:val="008D426F"/>
    <w:rsid w:val="009710DF"/>
    <w:rsid w:val="009D4557"/>
    <w:rsid w:val="009E3939"/>
    <w:rsid w:val="00A040E5"/>
    <w:rsid w:val="00A046CD"/>
    <w:rsid w:val="00A1670A"/>
    <w:rsid w:val="00A30EB8"/>
    <w:rsid w:val="00A50602"/>
    <w:rsid w:val="00A50FDA"/>
    <w:rsid w:val="00A675F0"/>
    <w:rsid w:val="00AD3C07"/>
    <w:rsid w:val="00B219C3"/>
    <w:rsid w:val="00B32EA5"/>
    <w:rsid w:val="00B40ED8"/>
    <w:rsid w:val="00B555ED"/>
    <w:rsid w:val="00B81F84"/>
    <w:rsid w:val="00BC03F4"/>
    <w:rsid w:val="00C22220"/>
    <w:rsid w:val="00C41D38"/>
    <w:rsid w:val="00CB3A2C"/>
    <w:rsid w:val="00CC0235"/>
    <w:rsid w:val="00CC2B73"/>
    <w:rsid w:val="00CE6952"/>
    <w:rsid w:val="00D21FA7"/>
    <w:rsid w:val="00D303DC"/>
    <w:rsid w:val="00D4128A"/>
    <w:rsid w:val="00D50880"/>
    <w:rsid w:val="00D64913"/>
    <w:rsid w:val="00DB24F3"/>
    <w:rsid w:val="00DD0907"/>
    <w:rsid w:val="00E33CC9"/>
    <w:rsid w:val="00E710C6"/>
    <w:rsid w:val="00E84733"/>
    <w:rsid w:val="00E861D7"/>
    <w:rsid w:val="00EA1FF1"/>
    <w:rsid w:val="00EE7F46"/>
    <w:rsid w:val="00EF03EB"/>
    <w:rsid w:val="00F01562"/>
    <w:rsid w:val="00F20EA9"/>
    <w:rsid w:val="00F21027"/>
    <w:rsid w:val="00F35E3E"/>
    <w:rsid w:val="00F7309A"/>
    <w:rsid w:val="00F80907"/>
    <w:rsid w:val="00FC578A"/>
    <w:rsid w:val="00FC7653"/>
    <w:rsid w:val="00FE21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49777"/>
  <w15:chartTrackingRefBased/>
  <w15:docId w15:val="{499E75DB-0E2E-4EC2-B091-69985FB6D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17"/>
        <w:szCs w:val="17"/>
        <w:lang w:val="en-US" w:eastAsia="ja-JP"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5ED"/>
    <w:rPr>
      <w:rFonts w:ascii="Franklin Gothic Book" w:hAnsi="Franklin Gothic Book"/>
    </w:rPr>
  </w:style>
  <w:style w:type="paragraph" w:styleId="Heading1">
    <w:name w:val="heading 1"/>
    <w:basedOn w:val="Normal"/>
    <w:next w:val="Normal"/>
    <w:link w:val="Heading1Char"/>
    <w:uiPriority w:val="9"/>
    <w:qFormat/>
    <w:rsid w:val="00A1670A"/>
    <w:pPr>
      <w:keepNext/>
      <w:keepLines/>
      <w:spacing w:before="240" w:after="40" w:line="240" w:lineRule="auto"/>
      <w:outlineLvl w:val="0"/>
    </w:pPr>
    <w:rPr>
      <w:rFonts w:ascii="Franklin Gothic Medium" w:eastAsiaTheme="majorEastAsia" w:hAnsi="Franklin Gothic Medium" w:cstheme="majorBidi"/>
      <w:color w:val="5B9BD5" w:themeColor="accent1"/>
      <w:sz w:val="28"/>
      <w:szCs w:val="28"/>
    </w:rPr>
  </w:style>
  <w:style w:type="paragraph" w:styleId="Heading2">
    <w:name w:val="heading 2"/>
    <w:basedOn w:val="Heading1"/>
    <w:next w:val="Normal"/>
    <w:link w:val="Heading2Char"/>
    <w:uiPriority w:val="9"/>
    <w:unhideWhenUsed/>
    <w:qFormat/>
    <w:rsid w:val="00A1670A"/>
    <w:pPr>
      <w:spacing w:before="160" w:after="0"/>
      <w:outlineLvl w:val="1"/>
    </w:pPr>
    <w:rPr>
      <w:color w:val="1F4E79" w:themeColor="accent1" w:themeShade="80"/>
      <w:sz w:val="24"/>
      <w:szCs w:val="24"/>
    </w:rPr>
  </w:style>
  <w:style w:type="paragraph" w:styleId="Heading3">
    <w:name w:val="heading 3"/>
    <w:basedOn w:val="Normal"/>
    <w:next w:val="Normal"/>
    <w:link w:val="Heading3Char"/>
    <w:uiPriority w:val="9"/>
    <w:unhideWhenUsed/>
    <w:qFormat/>
    <w:rsid w:val="00A1670A"/>
    <w:pPr>
      <w:keepNext/>
      <w:keepLines/>
      <w:spacing w:before="40" w:after="0" w:line="240" w:lineRule="auto"/>
      <w:outlineLvl w:val="2"/>
    </w:pPr>
    <w:rPr>
      <w:rFonts w:ascii="Franklin Gothic Medium" w:eastAsiaTheme="majorEastAsia" w:hAnsi="Franklin Gothic Medium" w:cstheme="majorBidi"/>
      <w:color w:val="3B3838" w:themeColor="background2" w:themeShade="40"/>
      <w:sz w:val="22"/>
      <w:szCs w:val="22"/>
    </w:rPr>
  </w:style>
  <w:style w:type="paragraph" w:styleId="Heading4">
    <w:name w:val="heading 4"/>
    <w:basedOn w:val="Normal"/>
    <w:next w:val="Normal"/>
    <w:link w:val="Heading4Char"/>
    <w:uiPriority w:val="9"/>
    <w:semiHidden/>
    <w:unhideWhenUsed/>
    <w:qFormat/>
    <w:rsid w:val="00B555ED"/>
    <w:pPr>
      <w:keepNext/>
      <w:keepLines/>
      <w:spacing w:before="160" w:after="0"/>
      <w:outlineLvl w:val="3"/>
    </w:pPr>
    <w:rPr>
      <w:rFonts w:ascii="Franklin Gothic Medium" w:eastAsiaTheme="majorEastAsia" w:hAnsi="Franklin Gothic Medium" w:cstheme="majorBidi"/>
      <w:b/>
      <w:bCs/>
      <w:color w:val="171717" w:themeColor="background2" w:themeShade="1A"/>
      <w:sz w:val="20"/>
      <w:szCs w:val="20"/>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sz w:val="20"/>
      <w:szCs w:val="20"/>
    </w:rPr>
  </w:style>
  <w:style w:type="paragraph" w:styleId="Heading6">
    <w:name w:val="heading 6"/>
    <w:basedOn w:val="Normal"/>
    <w:next w:val="Normal"/>
    <w:link w:val="Heading6Char"/>
    <w:uiPriority w:val="9"/>
    <w:semiHidden/>
    <w:unhideWhenUsed/>
    <w:qFormat/>
    <w:pPr>
      <w:keepNext/>
      <w:keepLines/>
      <w:spacing w:before="160" w:after="0"/>
      <w:outlineLvl w:val="5"/>
    </w:pPr>
    <w:rPr>
      <w:rFonts w:asciiTheme="majorHAnsi" w:eastAsiaTheme="majorEastAsia" w:hAnsiTheme="majorHAnsi" w:cstheme="majorBidi"/>
      <w:b/>
      <w:bCs/>
      <w:i/>
      <w:iCs/>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000000" w:themeColor="text1"/>
      <w:sz w:val="20"/>
      <w:szCs w:val="20"/>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eastAsiaTheme="majorEastAsia" w:hAnsiTheme="majorHAnsi" w:cstheme="majorBidi"/>
      <w:b/>
      <w:bCs/>
      <w:color w:val="000000" w:themeColor="text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Pr>
      <w:b/>
      <w:bCs/>
      <w:caps w:val="0"/>
      <w:smallCaps/>
      <w:spacing w:val="10"/>
    </w:rPr>
  </w:style>
  <w:style w:type="paragraph" w:styleId="Caption">
    <w:name w:val="caption"/>
    <w:basedOn w:val="Normal"/>
    <w:next w:val="Normal"/>
    <w:uiPriority w:val="35"/>
    <w:semiHidden/>
    <w:unhideWhenUsed/>
    <w:qFormat/>
    <w:pPr>
      <w:spacing w:line="240" w:lineRule="auto"/>
    </w:pPr>
    <w:rPr>
      <w:b/>
      <w:bCs/>
      <w:smallCaps/>
      <w:color w:val="595959" w:themeColor="text1" w:themeTint="A6"/>
      <w:spacing w:val="6"/>
    </w:rPr>
  </w:style>
  <w:style w:type="character" w:styleId="Emphasis">
    <w:name w:val="Emphasis"/>
    <w:basedOn w:val="DefaultParagraphFont"/>
    <w:uiPriority w:val="20"/>
    <w:qFormat/>
    <w:rPr>
      <w:i/>
      <w:iCs/>
      <w:color w:val="000000" w:themeColor="text1"/>
    </w:rPr>
  </w:style>
  <w:style w:type="character" w:customStyle="1" w:styleId="Heading1Char">
    <w:name w:val="Heading 1 Char"/>
    <w:basedOn w:val="DefaultParagraphFont"/>
    <w:link w:val="Heading1"/>
    <w:uiPriority w:val="9"/>
    <w:rsid w:val="00A1670A"/>
    <w:rPr>
      <w:rFonts w:ascii="Franklin Gothic Medium" w:eastAsiaTheme="majorEastAsia" w:hAnsi="Franklin Gothic Medium" w:cstheme="majorBidi"/>
      <w:color w:val="5B9BD5" w:themeColor="accent1"/>
      <w:sz w:val="28"/>
      <w:szCs w:val="28"/>
    </w:rPr>
  </w:style>
  <w:style w:type="character" w:customStyle="1" w:styleId="Heading2Char">
    <w:name w:val="Heading 2 Char"/>
    <w:basedOn w:val="DefaultParagraphFont"/>
    <w:link w:val="Heading2"/>
    <w:uiPriority w:val="9"/>
    <w:rsid w:val="00A1670A"/>
    <w:rPr>
      <w:rFonts w:ascii="Franklin Gothic Medium" w:eastAsiaTheme="majorEastAsia" w:hAnsi="Franklin Gothic Medium" w:cstheme="majorBidi"/>
      <w:color w:val="1F4E79" w:themeColor="accent1" w:themeShade="80"/>
      <w:sz w:val="24"/>
      <w:szCs w:val="24"/>
    </w:rPr>
  </w:style>
  <w:style w:type="character" w:customStyle="1" w:styleId="Heading3Char">
    <w:name w:val="Heading 3 Char"/>
    <w:basedOn w:val="DefaultParagraphFont"/>
    <w:link w:val="Heading3"/>
    <w:uiPriority w:val="9"/>
    <w:rsid w:val="00A1670A"/>
    <w:rPr>
      <w:rFonts w:ascii="Franklin Gothic Medium" w:eastAsiaTheme="majorEastAsia" w:hAnsi="Franklin Gothic Medium" w:cstheme="majorBidi"/>
      <w:color w:val="3B3838" w:themeColor="background2" w:themeShade="40"/>
      <w:sz w:val="22"/>
      <w:szCs w:val="22"/>
    </w:rPr>
  </w:style>
  <w:style w:type="character" w:customStyle="1" w:styleId="Heading4Char">
    <w:name w:val="Heading 4 Char"/>
    <w:basedOn w:val="DefaultParagraphFont"/>
    <w:link w:val="Heading4"/>
    <w:uiPriority w:val="9"/>
    <w:semiHidden/>
    <w:rsid w:val="00B555ED"/>
    <w:rPr>
      <w:rFonts w:ascii="Franklin Gothic Medium" w:eastAsiaTheme="majorEastAsia" w:hAnsi="Franklin Gothic Medium" w:cstheme="majorBidi"/>
      <w:b/>
      <w:bCs/>
      <w:color w:val="171717" w:themeColor="background2" w:themeShade="1A"/>
      <w:sz w:val="20"/>
      <w:szCs w:val="20"/>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olor w:val="000000" w:themeColor="tex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olor w:val="000000" w:themeColor="text1"/>
    </w:rPr>
  </w:style>
  <w:style w:type="character" w:styleId="IntenseEmphasis">
    <w:name w:val="Intense Emphasis"/>
    <w:basedOn w:val="DefaultParagraphFont"/>
    <w:uiPriority w:val="21"/>
    <w:qFormat/>
    <w:rPr>
      <w:b/>
      <w:bCs/>
      <w:i/>
      <w:iCs/>
      <w:color w:val="auto"/>
    </w:rPr>
  </w:style>
  <w:style w:type="paragraph" w:styleId="IntenseQuote">
    <w:name w:val="Intense Quote"/>
    <w:basedOn w:val="Normal"/>
    <w:next w:val="Normal"/>
    <w:link w:val="IntenseQuoteChar"/>
    <w:uiPriority w:val="30"/>
    <w:qFormat/>
    <w:pPr>
      <w:pBdr>
        <w:left w:val="single" w:sz="36" w:space="4" w:color="5B9BD5" w:themeColor="accent1"/>
      </w:pBdr>
      <w:spacing w:before="100" w:beforeAutospacing="1"/>
      <w:ind w:left="1224" w:right="1224"/>
    </w:pPr>
    <w:rPr>
      <w:color w:val="5B9BD5" w:themeColor="accent1"/>
      <w:sz w:val="28"/>
      <w:szCs w:val="28"/>
    </w:rPr>
  </w:style>
  <w:style w:type="character" w:customStyle="1" w:styleId="IntenseQuoteChar">
    <w:name w:val="Intense Quote Char"/>
    <w:basedOn w:val="DefaultParagraphFont"/>
    <w:link w:val="IntenseQuote"/>
    <w:uiPriority w:val="30"/>
    <w:rPr>
      <w:color w:val="5B9BD5" w:themeColor="accent1"/>
      <w:sz w:val="28"/>
      <w:szCs w:val="28"/>
    </w:rPr>
  </w:style>
  <w:style w:type="character" w:styleId="IntenseReference">
    <w:name w:val="Intense Reference"/>
    <w:basedOn w:val="DefaultParagraphFont"/>
    <w:uiPriority w:val="32"/>
    <w:qFormat/>
    <w:rPr>
      <w:b/>
      <w:bCs/>
      <w:caps w:val="0"/>
      <w:smallCaps/>
      <w:color w:val="auto"/>
      <w:spacing w:val="5"/>
      <w:u w:val="single"/>
    </w:rPr>
  </w:style>
  <w:style w:type="character" w:styleId="Hyperlink">
    <w:name w:val="Hyperlink"/>
    <w:basedOn w:val="DefaultParagraphFont"/>
    <w:unhideWhenUsed/>
    <w:rPr>
      <w:color w:val="8496B0" w:themeColor="text2" w:themeTint="99"/>
      <w:u w:val="single"/>
    </w:rPr>
  </w:style>
  <w:style w:type="character" w:styleId="FollowedHyperlink">
    <w:name w:val="FollowedHyperlink"/>
    <w:basedOn w:val="DefaultParagraphFont"/>
    <w:uiPriority w:val="99"/>
    <w:semiHidden/>
    <w:unhideWhenUsed/>
    <w:rPr>
      <w:color w:val="954F72" w:themeColor="followedHyperlink"/>
      <w:u w:val="single"/>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Quote">
    <w:name w:val="Quote"/>
    <w:basedOn w:val="Normal"/>
    <w:next w:val="Normal"/>
    <w:link w:val="QuoteChar"/>
    <w:uiPriority w:val="29"/>
    <w:qFormat/>
    <w:pPr>
      <w:spacing w:before="160"/>
      <w:ind w:left="864" w:right="864"/>
    </w:pPr>
    <w:rPr>
      <w:rFonts w:asciiTheme="majorHAnsi" w:eastAsiaTheme="majorEastAsia" w:hAnsiTheme="majorHAnsi" w:cstheme="majorBidi"/>
    </w:rPr>
  </w:style>
  <w:style w:type="character" w:customStyle="1" w:styleId="QuoteChar">
    <w:name w:val="Quote Char"/>
    <w:basedOn w:val="DefaultParagraphFont"/>
    <w:link w:val="Quote"/>
    <w:uiPriority w:val="29"/>
    <w:rPr>
      <w:rFonts w:asciiTheme="majorHAnsi" w:eastAsiaTheme="majorEastAsia" w:hAnsiTheme="majorHAnsi" w:cstheme="majorBidi"/>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numPr>
        <w:ilvl w:val="1"/>
      </w:numPr>
    </w:pPr>
    <w:rPr>
      <w:sz w:val="28"/>
      <w:szCs w:val="28"/>
    </w:rPr>
  </w:style>
  <w:style w:type="character" w:customStyle="1" w:styleId="SubtitleChar">
    <w:name w:val="Subtitle Char"/>
    <w:basedOn w:val="DefaultParagraphFont"/>
    <w:link w:val="Subtitle"/>
    <w:uiPriority w:val="11"/>
    <w:rPr>
      <w:sz w:val="28"/>
      <w:szCs w:val="28"/>
    </w:rPr>
  </w:style>
  <w:style w:type="character" w:styleId="SubtleEmphasis">
    <w:name w:val="Subtle Emphasis"/>
    <w:basedOn w:val="DefaultParagraphFont"/>
    <w:uiPriority w:val="19"/>
    <w:qFormat/>
    <w:rPr>
      <w:i/>
      <w:iCs/>
      <w:color w:val="595959" w:themeColor="text1" w:themeTint="A6"/>
    </w:rPr>
  </w:style>
  <w:style w:type="character" w:styleId="SubtleReference">
    <w:name w:val="Subtle Reference"/>
    <w:basedOn w:val="DefaultParagraphFont"/>
    <w:uiPriority w:val="31"/>
    <w:qFormat/>
    <w:rPr>
      <w:caps w:val="0"/>
      <w:smallCaps/>
      <w:color w:val="404040" w:themeColor="text1" w:themeTint="BF"/>
      <w:u w:val="single" w:color="7F7F7F" w:themeColor="text1" w:themeTint="80"/>
    </w:rPr>
  </w:style>
  <w:style w:type="paragraph" w:styleId="Title">
    <w:name w:val="Title"/>
    <w:basedOn w:val="Normal"/>
    <w:next w:val="Normal"/>
    <w:link w:val="TitleChar"/>
    <w:uiPriority w:val="10"/>
    <w:qFormat/>
    <w:rsid w:val="00A1670A"/>
    <w:pPr>
      <w:spacing w:after="0" w:line="240" w:lineRule="auto"/>
      <w:contextualSpacing/>
    </w:pPr>
    <w:rPr>
      <w:rFonts w:ascii="Franklin Gothic Demi" w:eastAsiaTheme="majorEastAsia" w:hAnsi="Franklin Gothic Demi" w:cstheme="majorBidi"/>
      <w:color w:val="5B9BD5" w:themeColor="accent1"/>
      <w:kern w:val="28"/>
      <w:sz w:val="40"/>
      <w:szCs w:val="72"/>
    </w:rPr>
  </w:style>
  <w:style w:type="character" w:customStyle="1" w:styleId="TitleChar">
    <w:name w:val="Title Char"/>
    <w:basedOn w:val="DefaultParagraphFont"/>
    <w:link w:val="Title"/>
    <w:uiPriority w:val="10"/>
    <w:rsid w:val="00A1670A"/>
    <w:rPr>
      <w:rFonts w:ascii="Franklin Gothic Demi" w:eastAsiaTheme="majorEastAsia" w:hAnsi="Franklin Gothic Demi" w:cstheme="majorBidi"/>
      <w:color w:val="5B9BD5" w:themeColor="accent1"/>
      <w:kern w:val="28"/>
      <w:sz w:val="40"/>
      <w:szCs w:val="72"/>
    </w:rPr>
  </w:style>
  <w:style w:type="paragraph" w:styleId="ListParagraph">
    <w:name w:val="List Paragraph"/>
    <w:basedOn w:val="Normal"/>
    <w:uiPriority w:val="34"/>
    <w:qFormat/>
    <w:pPr>
      <w:ind w:left="720"/>
      <w:contextualSpacing/>
    </w:pPr>
  </w:style>
  <w:style w:type="paragraph" w:styleId="BodyText">
    <w:name w:val="Body Text"/>
    <w:basedOn w:val="Normal"/>
    <w:link w:val="BodyTextChar"/>
    <w:uiPriority w:val="99"/>
    <w:unhideWhenUsed/>
    <w:qFormat/>
    <w:rsid w:val="00B555ED"/>
    <w:pPr>
      <w:spacing w:after="120"/>
    </w:pPr>
    <w:rPr>
      <w:sz w:val="20"/>
    </w:rPr>
  </w:style>
  <w:style w:type="character" w:customStyle="1" w:styleId="BodyTextChar">
    <w:name w:val="Body Text Char"/>
    <w:basedOn w:val="DefaultParagraphFont"/>
    <w:link w:val="BodyText"/>
    <w:uiPriority w:val="99"/>
    <w:rsid w:val="00B555ED"/>
    <w:rPr>
      <w:rFonts w:ascii="Franklin Gothic Book" w:hAnsi="Franklin Gothic Book"/>
      <w:sz w:val="20"/>
    </w:rPr>
  </w:style>
  <w:style w:type="table" w:styleId="TableGrid">
    <w:name w:val="Table Grid"/>
    <w:basedOn w:val="TableNormal"/>
    <w:uiPriority w:val="39"/>
    <w:rsid w:val="00D21F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C03F4"/>
    <w:pPr>
      <w:spacing w:before="100" w:beforeAutospacing="1" w:after="100" w:afterAutospacing="1" w:line="240" w:lineRule="auto"/>
    </w:pPr>
    <w:rPr>
      <w:rFonts w:ascii="Times New Roman" w:hAnsi="Times New Roman" w:cs="Times New Roman"/>
      <w:sz w:val="24"/>
      <w:szCs w:val="24"/>
      <w:lang w:eastAsia="en-US"/>
    </w:rPr>
  </w:style>
  <w:style w:type="paragraph" w:styleId="Header">
    <w:name w:val="header"/>
    <w:basedOn w:val="Normal"/>
    <w:link w:val="HeaderChar"/>
    <w:uiPriority w:val="99"/>
    <w:unhideWhenUsed/>
    <w:rsid w:val="00BC03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3F4"/>
    <w:rPr>
      <w:rFonts w:ascii="Franklin Gothic Book" w:hAnsi="Franklin Gothic Book"/>
    </w:rPr>
  </w:style>
  <w:style w:type="paragraph" w:styleId="Footer">
    <w:name w:val="footer"/>
    <w:basedOn w:val="Normal"/>
    <w:link w:val="FooterChar"/>
    <w:uiPriority w:val="99"/>
    <w:unhideWhenUsed/>
    <w:rsid w:val="00BC03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3F4"/>
    <w:rPr>
      <w:rFonts w:ascii="Franklin Gothic Book" w:hAnsi="Franklin Gothic Book"/>
    </w:rPr>
  </w:style>
  <w:style w:type="paragraph" w:styleId="BalloonText">
    <w:name w:val="Balloon Text"/>
    <w:basedOn w:val="Normal"/>
    <w:link w:val="BalloonTextChar"/>
    <w:uiPriority w:val="99"/>
    <w:semiHidden/>
    <w:unhideWhenUsed/>
    <w:rsid w:val="00D412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2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179708">
      <w:bodyDiv w:val="1"/>
      <w:marLeft w:val="0"/>
      <w:marRight w:val="0"/>
      <w:marTop w:val="0"/>
      <w:marBottom w:val="0"/>
      <w:divBdr>
        <w:top w:val="none" w:sz="0" w:space="0" w:color="auto"/>
        <w:left w:val="none" w:sz="0" w:space="0" w:color="auto"/>
        <w:bottom w:val="none" w:sz="0" w:space="0" w:color="auto"/>
        <w:right w:val="none" w:sz="0" w:space="0" w:color="auto"/>
      </w:divBdr>
    </w:div>
    <w:div w:id="1848862847">
      <w:bodyDiv w:val="1"/>
      <w:marLeft w:val="0"/>
      <w:marRight w:val="0"/>
      <w:marTop w:val="0"/>
      <w:marBottom w:val="0"/>
      <w:divBdr>
        <w:top w:val="none" w:sz="0" w:space="0" w:color="auto"/>
        <w:left w:val="none" w:sz="0" w:space="0" w:color="auto"/>
        <w:bottom w:val="none" w:sz="0" w:space="0" w:color="auto"/>
        <w:right w:val="none" w:sz="0" w:space="0" w:color="auto"/>
      </w:divBdr>
    </w:div>
    <w:div w:id="1877083577">
      <w:bodyDiv w:val="1"/>
      <w:marLeft w:val="0"/>
      <w:marRight w:val="0"/>
      <w:marTop w:val="0"/>
      <w:marBottom w:val="0"/>
      <w:divBdr>
        <w:top w:val="none" w:sz="0" w:space="0" w:color="auto"/>
        <w:left w:val="none" w:sz="0" w:space="0" w:color="auto"/>
        <w:bottom w:val="none" w:sz="0" w:space="0" w:color="auto"/>
        <w:right w:val="none" w:sz="0" w:space="0" w:color="auto"/>
      </w:divBdr>
    </w:div>
    <w:div w:id="1967543901">
      <w:bodyDiv w:val="1"/>
      <w:marLeft w:val="0"/>
      <w:marRight w:val="0"/>
      <w:marTop w:val="0"/>
      <w:marBottom w:val="0"/>
      <w:divBdr>
        <w:top w:val="none" w:sz="0" w:space="0" w:color="auto"/>
        <w:left w:val="none" w:sz="0" w:space="0" w:color="auto"/>
        <w:bottom w:val="none" w:sz="0" w:space="0" w:color="auto"/>
        <w:right w:val="none" w:sz="0" w:space="0" w:color="auto"/>
      </w:divBdr>
    </w:div>
    <w:div w:id="2062947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granvillep@bsd405.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nvillep\Documents\Custom%20Office%20Templates\General%20Bellevue%20Template.dotx" TargetMode="External"/></Relationships>
</file>

<file path=word/theme/theme1.xml><?xml version="1.0" encoding="utf-8"?>
<a:theme xmlns:a="http://schemas.openxmlformats.org/drawingml/2006/main" name="Io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customXml/itemProps2.xml><?xml version="1.0" encoding="utf-8"?>
<ds:datastoreItem xmlns:ds="http://schemas.openxmlformats.org/officeDocument/2006/customXml" ds:itemID="{F758F8E6-C9D9-41D1-865B-2DE72C082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Bellevue Template.dotx</Template>
  <TotalTime>3023</TotalTime>
  <Pages>4</Pages>
  <Words>2269</Words>
  <Characters>12935</Characters>
  <Application>Microsoft Office Word</Application>
  <DocSecurity>0</DocSecurity>
  <Lines>107</Lines>
  <Paragraphs>30</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    Equip Students with the Language They Want</vt:lpstr>
      <vt:lpstr>    “It is what it is” </vt:lpstr>
      <vt:lpstr>    Language to Be Themselves</vt:lpstr>
      <vt:lpstr>        Humans</vt:lpstr>
      <vt:lpstr>    /</vt:lpstr>
      <vt:lpstr>    Versus Robots</vt:lpstr>
      <vt:lpstr>    How to Choose</vt:lpstr>
      <vt:lpstr>Soupe spécial by Paris Granville</vt:lpstr>
      <vt:lpstr>Cartoon in Spanish</vt:lpstr>
      <vt:lpstr>    Ways to Teach</vt:lpstr>
      <vt:lpstr>    Five Core Expression for Novice Learners</vt:lpstr>
      <vt:lpstr>    A Call to Respond</vt:lpstr>
      <vt:lpstr>    Bibliography</vt:lpstr>
    </vt:vector>
  </TitlesOfParts>
  <Company/>
  <LinksUpToDate>false</LinksUpToDate>
  <CharactersWithSpaces>15174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keywords/>
  <cp:lastModifiedBy>Paris Granville</cp:lastModifiedBy>
  <cp:revision>54</cp:revision>
  <cp:lastPrinted>2015-06-29T20:07:00Z</cp:lastPrinted>
  <dcterms:created xsi:type="dcterms:W3CDTF">2015-06-11T19:54:00Z</dcterms:created>
  <dcterms:modified xsi:type="dcterms:W3CDTF">2016-01-27T04:37:00Z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y fmtid="{D5CDD505-2E9C-101B-9397-08002B2CF9AE}" pid="3" name="Mendeley Document_1">
    <vt:lpwstr>True</vt:lpwstr>
  </property>
  <property fmtid="{D5CDD505-2E9C-101B-9397-08002B2CF9AE}" pid="4" name="Mendeley User Name_1">
    <vt:lpwstr>paris@languageshaping.com@www.mendeley.com</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16th edition (author-date)</vt:lpwstr>
  </property>
  <property fmtid="{D5CDD505-2E9C-101B-9397-08002B2CF9AE}" pid="16" name="Mendeley Recent Style Id 5_1">
    <vt:lpwstr>http://www.zotero.org/styles/harvard1</vt:lpwstr>
  </property>
  <property fmtid="{D5CDD505-2E9C-101B-9397-08002B2CF9AE}" pid="17" name="Mendeley Recent Style Name 5_1">
    <vt:lpwstr>Harvard Reference format 1 (author-date)</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7th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